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14" w:rsidRDefault="00256D14">
      <w:pPr>
        <w:jc w:val="center"/>
      </w:pPr>
      <w:r>
        <w:t>DISCLAIMER</w:t>
      </w:r>
    </w:p>
    <w:p w:rsidR="00256D14" w:rsidRDefault="00256D14"/>
    <w:p w:rsidR="00256D14" w:rsidRDefault="00256D1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56D14" w:rsidRDefault="00256D14"/>
    <w:p w:rsidR="00256D14" w:rsidRDefault="00256D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6D14" w:rsidRDefault="00256D14"/>
    <w:p w:rsidR="00256D14" w:rsidRDefault="00256D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6D14" w:rsidRDefault="00256D14"/>
    <w:p w:rsidR="00256D14" w:rsidRDefault="00256D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6D14" w:rsidRDefault="00256D14"/>
    <w:p w:rsidR="00256D14" w:rsidRDefault="00256D14">
      <w:r>
        <w:br w:type="page"/>
      </w:r>
    </w:p>
    <w:p w:rsid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140">
        <w:t>CHAPTER 23.</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140">
        <w:t xml:space="preserve"> PLEADING AND TRIAL</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10.</w:t>
      </w:r>
      <w:r w:rsidR="00B35191" w:rsidRPr="00C74140">
        <w:t xml:space="preserve"> Plea of autrefois acquit or convict.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In any plea of autrefois acquit or autrefois convict it shall be sufficient for any defendant to state that he has been lawfully acquitted or convicted, as the case may be, of the offense charged in the indictment.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20.</w:t>
      </w:r>
      <w:r w:rsidR="00B35191" w:rsidRPr="00C74140">
        <w:t xml:space="preserve"> Double jeopardy after trial in municipal or magistrate</w:t>
      </w:r>
      <w:r w:rsidRPr="00C74140">
        <w:t>’</w:t>
      </w:r>
      <w:r w:rsidR="00B35191" w:rsidRPr="00C74140">
        <w:t xml:space="preserve">s court.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Whenever a municipal court or a magistrate</w:t>
      </w:r>
      <w:r w:rsidR="00C74140" w:rsidRPr="00C74140">
        <w:t>’</w:t>
      </w:r>
      <w:r w:rsidRPr="00C74140">
        <w:t xml:space="preserv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30.</w:t>
      </w:r>
      <w:r w:rsidR="00B35191" w:rsidRPr="00C74140">
        <w:t xml:space="preserve"> Permitting second indictment and trial thereon for same offense.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40.</w:t>
      </w:r>
      <w:r w:rsidR="00B35191" w:rsidRPr="00C74140">
        <w:t xml:space="preserve"> Nolo contendere in misdemeanor cases.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The defendant in any misdemeanor case in any of the courts of this State may, with the consent of the court, enter a plea of </w:t>
      </w:r>
      <w:r w:rsidR="00C74140" w:rsidRPr="00C74140">
        <w:t>“</w:t>
      </w:r>
      <w:r w:rsidRPr="00C74140">
        <w:t>nolo contendere</w:t>
      </w:r>
      <w:r w:rsidR="00C74140" w:rsidRPr="00C74140">
        <w:t>”</w:t>
      </w:r>
      <w:r w:rsidRPr="00C74140">
        <w:t xml:space="preserve"> thereto and upon so doing such defendant shall be dealt with in like manner as if he had entered a plea of guilty thereto.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50.</w:t>
      </w:r>
      <w:r w:rsidR="00B35191" w:rsidRPr="00C74140">
        <w:t xml:space="preserve"> Traverse of indictment is not a continuance.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A traverse of any indictment shall not, in any court of criminal jurisdiction in this State, of itself operate to continue the case.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60.</w:t>
      </w:r>
      <w:r w:rsidR="00B35191" w:rsidRPr="00C74140">
        <w:t xml:space="preserve"> Accused</w:t>
      </w:r>
      <w:r w:rsidRPr="00C74140">
        <w:t>’</w:t>
      </w:r>
      <w:r w:rsidR="00B35191" w:rsidRPr="00C74140">
        <w:t xml:space="preserve">s right to counsel, to produce witnesses and proofs, and to confront witnesses.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Every person accused shall, at his trial, be allowed to be heard by counsel, may defend himself and shall have a right to produce witnesses and proofs in his favor and to meet the witnesses produced against him face to face.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80.</w:t>
      </w:r>
      <w:r w:rsidR="00B35191" w:rsidRPr="00C74140">
        <w:t xml:space="preserve"> Manner by which persons who have been indicted may be convicted.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No person indicted for an offense shall be convicted thereof unless by confession of his guilt in open court, by admitting the truth of the charge against him by his plea or demurrer, by the verdict of a jury accepted and recorded by the court or as provided in </w:t>
      </w:r>
      <w:r w:rsidR="00C74140" w:rsidRPr="00C74140">
        <w:t xml:space="preserve">Section </w:t>
      </w:r>
      <w:r w:rsidRPr="00C74140">
        <w:t>17</w:t>
      </w:r>
      <w:r w:rsidR="00C74140" w:rsidRPr="00C74140">
        <w:noBreakHyphen/>
      </w:r>
      <w:r w:rsidRPr="00C74140">
        <w:t>23</w:t>
      </w:r>
      <w:r w:rsidR="00C74140" w:rsidRPr="00C74140">
        <w:noBreakHyphen/>
      </w:r>
      <w:r w:rsidRPr="00C74140">
        <w:t xml:space="preserve">40.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90.</w:t>
      </w:r>
      <w:r w:rsidR="00B35191" w:rsidRPr="00C74140">
        <w:t xml:space="preserve"> Indictment and trial of persons committed for treason or felony;  consequences of failure to indict.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100.</w:t>
      </w:r>
      <w:r w:rsidR="00B35191" w:rsidRPr="00C74140">
        <w:t xml:space="preserve"> Right to object to charge or request additional charge out of presence of jury.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In all cases tried before a jury, other than cases in a magistrate</w:t>
      </w:r>
      <w:r w:rsidR="00C74140" w:rsidRPr="00C74140">
        <w:t>’</w:t>
      </w:r>
      <w:r w:rsidRPr="00C74140">
        <w:t xml:space="preserv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110.</w:t>
      </w:r>
      <w:r w:rsidR="00B35191" w:rsidRPr="00C74140">
        <w:t xml:space="preserve"> Circuit courts may grant new trials.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All the circuit courts of this State shall have power to grant new trials in cases in which there has been a trial by jury for reasons for which new trials have usually been granted in the courts of law of the United States.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120.</w:t>
      </w:r>
      <w:r w:rsidR="00B35191" w:rsidRPr="00C74140">
        <w:t xml:space="preserve"> Immediate disposition of certain misdemeanors or felonies;  application to clerk.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When any defendant is arrested upon a warrant charging a misdemeanor which is not within the jurisdiction of the magistrate</w:t>
      </w:r>
      <w:r w:rsidR="00C74140" w:rsidRPr="00C74140">
        <w:t>’</w:t>
      </w:r>
      <w:r w:rsidRPr="00C74140">
        <w:t xml:space="preserv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130.</w:t>
      </w:r>
      <w:r w:rsidR="00B35191" w:rsidRPr="00C74140">
        <w:t xml:space="preserve"> Immediate disposition of certain misdemeanors or felonies;  waiver of presentment by grand jury and plea of guilty.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Upon receipt by the solicitor of the warrant forwarded to him pursuant to the provisions of </w:t>
      </w:r>
      <w:r w:rsidR="00C74140" w:rsidRPr="00C74140">
        <w:t xml:space="preserve">Section </w:t>
      </w:r>
      <w:r w:rsidRPr="00C74140">
        <w:t>17</w:t>
      </w:r>
      <w:r w:rsidR="00C74140" w:rsidRPr="00C74140">
        <w:noBreakHyphen/>
      </w:r>
      <w:r w:rsidRPr="00C74140">
        <w:t>23</w:t>
      </w:r>
      <w:r w:rsidR="00C74140" w:rsidRPr="00C74140">
        <w:noBreakHyphen/>
      </w:r>
      <w:r w:rsidRPr="00C74140">
        <w:t xml:space="preserve">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140.</w:t>
      </w:r>
      <w:r w:rsidR="00B35191" w:rsidRPr="00C74140">
        <w:t xml:space="preserve"> Immediate disposition of certain misdemeanors or felonies;  appearance before judge and sentence.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Upon the defendant</w:t>
      </w:r>
      <w:r w:rsidR="00C74140" w:rsidRPr="00C74140">
        <w:t>’</w:t>
      </w:r>
      <w:r w:rsidRPr="00C74140">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C74140" w:rsidRPr="00C74140">
        <w:t>’</w:t>
      </w:r>
      <w:r w:rsidRPr="00C74140">
        <w:t xml:space="preserve">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150.</w:t>
      </w:r>
      <w:r w:rsidR="00B35191" w:rsidRPr="00C74140">
        <w:t xml:space="preserve"> Immediate disposition of certain misdemeanors or felonies;  powers of circuit judges in such cases.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Except as otherwise provided in </w:t>
      </w:r>
      <w:r w:rsidR="00C74140" w:rsidRPr="00C74140">
        <w:t xml:space="preserve">Section </w:t>
      </w:r>
      <w:r w:rsidRPr="00C74140">
        <w:t>17</w:t>
      </w:r>
      <w:r w:rsidR="00C74140" w:rsidRPr="00C74140">
        <w:noBreakHyphen/>
      </w:r>
      <w:r w:rsidRPr="00C74140">
        <w:t>23</w:t>
      </w:r>
      <w:r w:rsidR="00C74140" w:rsidRPr="00C74140">
        <w:noBreakHyphen/>
      </w:r>
      <w:r w:rsidRPr="00C74140">
        <w:t xml:space="preserve">140, as to such cases as are herein referred to in </w:t>
      </w:r>
      <w:r w:rsidR="00C74140" w:rsidRPr="00C74140">
        <w:t xml:space="preserve">Sections </w:t>
      </w:r>
      <w:r w:rsidRPr="00C74140">
        <w:t>17</w:t>
      </w:r>
      <w:r w:rsidR="00C74140" w:rsidRPr="00C74140">
        <w:noBreakHyphen/>
      </w:r>
      <w:r w:rsidRPr="00C74140">
        <w:t>23</w:t>
      </w:r>
      <w:r w:rsidR="00C74140" w:rsidRPr="00C74140">
        <w:noBreakHyphen/>
      </w:r>
      <w:r w:rsidRPr="00C74140">
        <w:t>120 to 17</w:t>
      </w:r>
      <w:r w:rsidR="00C74140" w:rsidRPr="00C74140">
        <w:noBreakHyphen/>
      </w:r>
      <w:r w:rsidRPr="00C74140">
        <w:t>23</w:t>
      </w:r>
      <w:r w:rsidR="00C74140" w:rsidRPr="00C74140">
        <w:noBreakHyphen/>
      </w:r>
      <w:r w:rsidRPr="00C74140">
        <w:t xml:space="preserve">140 the circuit judges shall have the same powers at chambers as they have in open court.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160.</w:t>
      </w:r>
      <w:r w:rsidR="00B35191" w:rsidRPr="00C74140">
        <w:t xml:space="preserve"> Notice of right to preliminary hearing;  form for request.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162.</w:t>
      </w:r>
      <w:r w:rsidR="00B35191" w:rsidRPr="00C74140">
        <w:t xml:space="preserve"> Presence of affiant or arresting officer to testify at preliminary hearing.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The affiant listed on an arrest warrant or the chief investigating officer for the case must be present to testify at the preliminary hearing of the person arrested pursuant to the warrant.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165.</w:t>
      </w:r>
      <w:r w:rsidR="00B35191" w:rsidRPr="00C74140">
        <w:t xml:space="preserve"> Attorney appearing at preliminary hearing not obligated to continue representation.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The appearance by an attorney on behalf of a defendant in a preliminary hearing shall not in and of itself obligate that attorney to continue the representation of that defendant beyond the preliminary hearing.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170.</w:t>
      </w:r>
      <w:r w:rsidR="00B35191" w:rsidRPr="00C74140">
        <w:t xml:space="preserve"> Admissibility of evidence concerning battered spouse syndrome;  foundation;  notice;  lay testimony.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(A) Evidence that the actor was suffering from the battered spouse syndrome is admissible in a criminal action on the issue of whether the actor lawfully acted in self</w:t>
      </w:r>
      <w:r w:rsidR="00C74140" w:rsidRPr="00C74140">
        <w:noBreakHyphen/>
      </w:r>
      <w:r w:rsidRPr="00C74140">
        <w:t xml:space="preserve">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(B) Expert opinion testimony on the battered spouse syndrome shall not be considered a new scientific technique the reliability of which is unproven.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(C) Lay testimony as to the actions of the batterer and how those actions contributed to the facts underlying the basis of the criminal charge shall not be precluded as irrelevant or immaterial if it is used to establish the foundation for evidence on the battered spouse syndrome.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(D) The foundation shall be sufficient for the admission of testimony on the battered spouse syndrome if the proponent of the evidence establishes its relevancy and the proper qualifications of the witness. </w:t>
      </w: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(E) A defendant who proposes to offer evidence of the battered spouse syndrome shall file written notice with the court before trial.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rPr>
          <w:b/>
        </w:rPr>
        <w:t xml:space="preserve">SECTION </w:t>
      </w:r>
      <w:r w:rsidR="00B35191" w:rsidRPr="00C74140">
        <w:rPr>
          <w:b/>
        </w:rPr>
        <w:t>17</w:t>
      </w:r>
      <w:r w:rsidRPr="00C74140">
        <w:rPr>
          <w:b/>
        </w:rPr>
        <w:noBreakHyphen/>
      </w:r>
      <w:r w:rsidR="00B35191" w:rsidRPr="00C74140">
        <w:rPr>
          <w:b/>
        </w:rPr>
        <w:t>23</w:t>
      </w:r>
      <w:r w:rsidRPr="00C74140">
        <w:rPr>
          <w:b/>
        </w:rPr>
        <w:noBreakHyphen/>
      </w:r>
      <w:r w:rsidR="00B35191" w:rsidRPr="00C74140">
        <w:rPr>
          <w:b/>
        </w:rPr>
        <w:t>175.</w:t>
      </w:r>
      <w:r w:rsidR="00B35191" w:rsidRPr="00C74140">
        <w:t xml:space="preserve"> Admissibility of out</w:t>
      </w:r>
      <w:r w:rsidRPr="00C74140">
        <w:noBreakHyphen/>
      </w:r>
      <w:r w:rsidR="00B35191" w:rsidRPr="00C74140">
        <w:t>of</w:t>
      </w:r>
      <w:r w:rsidRPr="00C74140">
        <w:noBreakHyphen/>
      </w:r>
      <w:r w:rsidR="00B35191" w:rsidRPr="00C74140">
        <w:t xml:space="preserve">court statement of child under twelve;  determination of trustworthiness;  notice to adverse party. </w:t>
      </w:r>
    </w:p>
    <w:p w:rsid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(A) In a general sessions court proceeding or a delinquency proceeding in family court, an out</w:t>
      </w:r>
      <w:r w:rsidR="00C74140" w:rsidRPr="00C74140">
        <w:noBreakHyphen/>
      </w:r>
      <w:r w:rsidRPr="00C74140">
        <w:t>of</w:t>
      </w:r>
      <w:r w:rsidR="00C74140" w:rsidRPr="00C74140">
        <w:noBreakHyphen/>
      </w:r>
      <w:r w:rsidRPr="00C74140">
        <w:t xml:space="preserve">court statement of a child is admissible if: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(1) the statement was given in response to questioning conducted during an investigative interview of the child;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(2) an audio and visual recording of the statement is preserved on film, videotape, or other electronic means, except as provided in subsection (F);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(3) the child testifies at the proceeding and is subject to cross</w:t>
      </w:r>
      <w:r w:rsidR="00C74140" w:rsidRPr="00C74140">
        <w:noBreakHyphen/>
      </w:r>
      <w:r w:rsidRPr="00C74140">
        <w:t xml:space="preserve"> examination on the elements of the offense and the making of the out</w:t>
      </w:r>
      <w:r w:rsidR="00C74140" w:rsidRPr="00C74140">
        <w:noBreakHyphen/>
      </w:r>
      <w:r w:rsidRPr="00C74140">
        <w:t>of</w:t>
      </w:r>
      <w:r w:rsidR="00C74140" w:rsidRPr="00C74140">
        <w:noBreakHyphen/>
      </w:r>
      <w:r w:rsidRPr="00C74140">
        <w:t xml:space="preserve">court statement;  and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(4) the court finds, in a hearing conducted outside the presence of the jury, that the totality of the circumstances surrounding the making of the statement provides particularized guarantees of trustworthiness.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(B) In determining whether a statement possesses particularized guarantees of trustworthiness, the court may consider, but is not limited to, the following factors: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(1) whether the statement was elicited by leading questions;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(2) whether the interviewer has been trained in conducting investigative interviews of children;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(3) whether the statement represents a detailed account of the alleged offense;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(4) whether the statement has internal coherence;  and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(5) sworn testimony of any participant which may be determined as necessary by the court.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(C) For purposes of this section, a child is: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(1) a person who is under the age of twelve years at the time of the making of the statement or who functions cognitively, adaptively, or developmentally under the age of twelve at the time of making the statement;  and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(2) a person who is the alleged victim of, or witness to, a criminal act for which the defendant, upon conviction, would be required to register pursuant to the provisions of Article 7, Chapter 3, Title 23.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(E)(1) The contents of a statement offered pursuant to this section are subject to discovery pursuant to Rule 5 of the South Carolina Rules of Criminal Procedure.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(2) If the child is twelve years of age or older, an adverse party may challenge the finding that the child functions cognitively, adaptively, or developmentally under the age of twelve.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(F) Out</w:t>
      </w:r>
      <w:r w:rsidR="00C74140" w:rsidRPr="00C74140">
        <w:noBreakHyphen/>
      </w:r>
      <w:r w:rsidRPr="00C74140">
        <w:t>of</w:t>
      </w:r>
      <w:r w:rsidR="00C74140" w:rsidRPr="00C74140">
        <w:noBreakHyphen/>
      </w:r>
      <w:r w:rsidRPr="00C74140">
        <w:t xml:space="preserve">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(1) the necessary visual and audio recording equipment was unavailable;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(2) the circumstances surrounding the making of the statement;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(3) the relationship of the professional and the child;  and </w:t>
      </w:r>
    </w:p>
    <w:p w:rsidR="00B35191"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(4) if the statement possesses particularized guarantees of trustworthiness. </w:t>
      </w:r>
    </w:p>
    <w:p w:rsidR="00C74140" w:rsidRPr="00C74140" w:rsidRDefault="00B35191"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140">
        <w:t xml:space="preserve">After considering these factors and additional factors the court deems important, the court will make a determination as to whether the statement is admissible pursuant to the provisions of this section. </w:t>
      </w:r>
    </w:p>
    <w:p w:rsidR="00C74140" w:rsidRPr="00C74140" w:rsidRDefault="00C74140"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D14" w:rsidRDefault="00256D14"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74140" w:rsidRDefault="000F013B" w:rsidP="00C7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74140" w:rsidSect="00C7414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40" w:rsidRDefault="00C74140" w:rsidP="00C74140">
      <w:r>
        <w:separator/>
      </w:r>
    </w:p>
  </w:endnote>
  <w:endnote w:type="continuationSeparator" w:id="1">
    <w:p w:rsidR="00C74140" w:rsidRDefault="00C74140" w:rsidP="00C74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40" w:rsidRPr="00C74140" w:rsidRDefault="00C74140" w:rsidP="00C74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40" w:rsidRPr="00C74140" w:rsidRDefault="00C74140" w:rsidP="00C741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40" w:rsidRPr="00C74140" w:rsidRDefault="00C74140" w:rsidP="00C74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40" w:rsidRDefault="00C74140" w:rsidP="00C74140">
      <w:r>
        <w:separator/>
      </w:r>
    </w:p>
  </w:footnote>
  <w:footnote w:type="continuationSeparator" w:id="1">
    <w:p w:rsidR="00C74140" w:rsidRDefault="00C74140" w:rsidP="00C74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40" w:rsidRPr="00C74140" w:rsidRDefault="00C74140" w:rsidP="00C741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40" w:rsidRPr="00C74140" w:rsidRDefault="00C74140" w:rsidP="00C741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40" w:rsidRPr="00C74140" w:rsidRDefault="00C74140" w:rsidP="00C741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35191"/>
    <w:rsid w:val="0006261B"/>
    <w:rsid w:val="000638C0"/>
    <w:rsid w:val="000D5AB8"/>
    <w:rsid w:val="000F013B"/>
    <w:rsid w:val="00256D14"/>
    <w:rsid w:val="0027637E"/>
    <w:rsid w:val="00276406"/>
    <w:rsid w:val="00277858"/>
    <w:rsid w:val="004E3C74"/>
    <w:rsid w:val="00664F23"/>
    <w:rsid w:val="008078F9"/>
    <w:rsid w:val="008E377B"/>
    <w:rsid w:val="00B35191"/>
    <w:rsid w:val="00B406E9"/>
    <w:rsid w:val="00C74140"/>
    <w:rsid w:val="00D8751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74140"/>
    <w:pPr>
      <w:tabs>
        <w:tab w:val="center" w:pos="4680"/>
        <w:tab w:val="right" w:pos="9360"/>
      </w:tabs>
    </w:pPr>
  </w:style>
  <w:style w:type="character" w:customStyle="1" w:styleId="HeaderChar">
    <w:name w:val="Header Char"/>
    <w:basedOn w:val="DefaultParagraphFont"/>
    <w:link w:val="Header"/>
    <w:uiPriority w:val="99"/>
    <w:semiHidden/>
    <w:rsid w:val="00C74140"/>
    <w:rPr>
      <w:sz w:val="22"/>
      <w:szCs w:val="24"/>
    </w:rPr>
  </w:style>
  <w:style w:type="paragraph" w:styleId="Footer">
    <w:name w:val="footer"/>
    <w:basedOn w:val="Normal"/>
    <w:link w:val="FooterChar"/>
    <w:uiPriority w:val="99"/>
    <w:semiHidden/>
    <w:unhideWhenUsed/>
    <w:rsid w:val="00C74140"/>
    <w:pPr>
      <w:tabs>
        <w:tab w:val="center" w:pos="4680"/>
        <w:tab w:val="right" w:pos="9360"/>
      </w:tabs>
    </w:pPr>
  </w:style>
  <w:style w:type="character" w:customStyle="1" w:styleId="FooterChar">
    <w:name w:val="Footer Char"/>
    <w:basedOn w:val="DefaultParagraphFont"/>
    <w:link w:val="Footer"/>
    <w:uiPriority w:val="99"/>
    <w:semiHidden/>
    <w:rsid w:val="00C7414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2262</Words>
  <Characters>12898</Characters>
  <Application>Microsoft Office Word</Application>
  <DocSecurity>0</DocSecurity>
  <Lines>107</Lines>
  <Paragraphs>30</Paragraphs>
  <ScaleCrop>false</ScaleCrop>
  <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