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3E" w:rsidRDefault="00A41C3E">
      <w:pPr>
        <w:jc w:val="center"/>
      </w:pPr>
      <w:r>
        <w:t>DISCLAIMER</w:t>
      </w:r>
    </w:p>
    <w:p w:rsidR="00A41C3E" w:rsidRDefault="00A41C3E"/>
    <w:p w:rsidR="00A41C3E" w:rsidRDefault="00A41C3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41C3E" w:rsidRDefault="00A41C3E"/>
    <w:p w:rsidR="00A41C3E" w:rsidRDefault="00A41C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1C3E" w:rsidRDefault="00A41C3E"/>
    <w:p w:rsidR="00A41C3E" w:rsidRDefault="00A41C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1C3E" w:rsidRDefault="00A41C3E"/>
    <w:p w:rsidR="00A41C3E" w:rsidRDefault="00A41C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1C3E" w:rsidRDefault="00A41C3E"/>
    <w:p w:rsidR="00A41C3E" w:rsidRDefault="00A41C3E">
      <w:pPr>
        <w:rPr>
          <w:rFonts w:cs="Times New Roman"/>
        </w:rPr>
      </w:pPr>
      <w:r>
        <w:rPr>
          <w:rFonts w:cs="Times New Roman"/>
        </w:rPr>
        <w:br w:type="page"/>
      </w:r>
    </w:p>
    <w:p w:rsid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B80">
        <w:rPr>
          <w:rFonts w:cs="Times New Roman"/>
        </w:rPr>
        <w:t>CHAPTER 38.</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2B80">
        <w:rPr>
          <w:rFonts w:cs="Times New Roman"/>
        </w:rPr>
        <w:t xml:space="preserve"> SOUTH CAROLINA CONTRIBUTION AMONG TORTFEASORS ACT</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10.</w:t>
      </w:r>
      <w:r w:rsidR="00730B0D" w:rsidRPr="00642B80">
        <w:rPr>
          <w:rFonts w:cs="Times New Roman"/>
        </w:rPr>
        <w:t xml:space="preserve"> Short title.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This chapter may be cited as the Uniform Contribution Among Tortfeasors Act.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15.</w:t>
      </w:r>
      <w:r w:rsidR="00730B0D" w:rsidRPr="00642B80">
        <w:rPr>
          <w:rFonts w:cs="Times New Roman"/>
        </w:rPr>
        <w:t xml:space="preserve"> Liability of defendant responsible for less than fifty per cent of total fault;  apportionment of percentages;  willful, wanton, or grossly negligent defendant and alcoholic beverage or drug exceptions.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(B) Apportionment of percentages of fault among defendants is to be determined as specified in subsection (C).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(C) The jury, or the court if there is no jury, shall: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(1) specify the amount of damages;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(2) determine the percentage of fault, if any, of plaintiff and the amount of recoverable damages under applicable rules concerning </w:t>
      </w:r>
      <w:r w:rsidR="00642B80" w:rsidRPr="00642B80">
        <w:rPr>
          <w:rFonts w:cs="Times New Roman"/>
        </w:rPr>
        <w:t>“</w:t>
      </w:r>
      <w:r w:rsidRPr="00642B80">
        <w:rPr>
          <w:rFonts w:cs="Times New Roman"/>
        </w:rPr>
        <w:t>comparative negligence</w:t>
      </w:r>
      <w:r w:rsidR="00642B80" w:rsidRPr="00642B80">
        <w:rPr>
          <w:rFonts w:cs="Times New Roman"/>
        </w:rPr>
        <w:t>”</w:t>
      </w:r>
      <w:r w:rsidRPr="00642B80">
        <w:rPr>
          <w:rFonts w:cs="Times New Roman"/>
        </w:rPr>
        <w:t xml:space="preserve">;  and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w:t>
      </w:r>
      <w:r w:rsidRPr="00642B80">
        <w:rPr>
          <w:rFonts w:cs="Times New Roman"/>
        </w:rPr>
        <w:lastRenderedPageBreak/>
        <w:t>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642B80" w:rsidRPr="00642B80">
        <w:rPr>
          <w:rFonts w:cs="Times New Roman"/>
        </w:rPr>
        <w:t>’</w:t>
      </w:r>
      <w:r w:rsidRPr="00642B80">
        <w:rPr>
          <w:rFonts w:cs="Times New Roman"/>
        </w:rPr>
        <w:t xml:space="preserve">s recoverable damages (as determined under item (2) above).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(D) A defendant shall retain the right to assert that another potential tortfeasor, whether or not a party, contributed to the alleged injury or damages and/or may be liable for any or all of the damages alleged by any other party.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(E) Notwithstanding the application of this section, setoff from any settlement received from any potential tortfeasor prior to the verdict shall be applied in proportion to each defendant</w:t>
      </w:r>
      <w:r w:rsidR="00642B80" w:rsidRPr="00642B80">
        <w:rPr>
          <w:rFonts w:cs="Times New Roman"/>
        </w:rPr>
        <w:t>’</w:t>
      </w:r>
      <w:r w:rsidRPr="00642B80">
        <w:rPr>
          <w:rFonts w:cs="Times New Roman"/>
        </w:rPr>
        <w:t xml:space="preserve">s percentage of liability as determined pursuant to subsection (C). </w:t>
      </w: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(F) This section does not apply to a defendant whose conduct is determined to be wilful, wanton, reckless, grossly negligent, or intentional or conduct involving the use, sale, or possession of alcohol or the illegal or illicit use, sale, or possession of drugs.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1C3E" w:rsidRDefault="00A41C3E"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20.</w:t>
      </w:r>
      <w:r w:rsidR="00730B0D" w:rsidRPr="00642B80">
        <w:rPr>
          <w:rFonts w:cs="Times New Roman"/>
        </w:rPr>
        <w:t xml:space="preserve"> Right of contribution.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(C) There is no right of contribution in favor of any tortfeasor who has intentionally caused or contributed to the injury or wrongful death.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(E) A liability insurer, who by payment has discharged in full or in part the liability of a tortfeasor and has thereby discharged in full its obligation as insurer, is subrogated to the tortfeasor</w:t>
      </w:r>
      <w:r w:rsidR="00642B80" w:rsidRPr="00642B80">
        <w:rPr>
          <w:rFonts w:cs="Times New Roman"/>
        </w:rPr>
        <w:t>’</w:t>
      </w:r>
      <w:r w:rsidRPr="00642B80">
        <w:rPr>
          <w:rFonts w:cs="Times New Roman"/>
        </w:rPr>
        <w:t>s right of contribution to the extent of the amount it has paid in excess of the tortfeasor</w:t>
      </w:r>
      <w:r w:rsidR="00642B80" w:rsidRPr="00642B80">
        <w:rPr>
          <w:rFonts w:cs="Times New Roman"/>
        </w:rPr>
        <w:t>’</w:t>
      </w:r>
      <w:r w:rsidRPr="00642B80">
        <w:rPr>
          <w:rFonts w:cs="Times New Roman"/>
        </w:rPr>
        <w:t xml:space="preserve">s pro rata share of the common liability.  This provision does not limit or impair any right of subrogation arising from any other relationship.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 </w:t>
      </w: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(G) This chapter does not apply to breaches of trust or of other fiduciary obligation.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30.</w:t>
      </w:r>
      <w:r w:rsidR="00730B0D" w:rsidRPr="00642B80">
        <w:rPr>
          <w:rFonts w:cs="Times New Roman"/>
        </w:rPr>
        <w:t xml:space="preserve"> Factors determining pro rata liability of tortfeasors.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40.</w:t>
      </w:r>
      <w:r w:rsidR="00730B0D" w:rsidRPr="00642B80">
        <w:rPr>
          <w:rFonts w:cs="Times New Roman"/>
        </w:rPr>
        <w:t xml:space="preserve"> Action for contribution.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(A) Whether or not judgment has been entered in an action against two or more tortfeasors for the same injury or wrongful death, contribution may be enforced by separate action.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642B80" w:rsidRPr="00642B80">
        <w:rPr>
          <w:rFonts w:cs="Times New Roman"/>
        </w:rPr>
        <w:noBreakHyphen/>
      </w:r>
      <w:r w:rsidRPr="00642B80">
        <w:rPr>
          <w:rFonts w:cs="Times New Roman"/>
        </w:rPr>
        <w:t>38</w:t>
      </w:r>
      <w:r w:rsidR="00642B80" w:rsidRPr="00642B80">
        <w:rPr>
          <w:rFonts w:cs="Times New Roman"/>
        </w:rPr>
        <w:noBreakHyphen/>
      </w:r>
      <w:r w:rsidRPr="00642B80">
        <w:rPr>
          <w:rFonts w:cs="Times New Roman"/>
        </w:rPr>
        <w:t xml:space="preserve">20(B), a defendant has the right to seek contribution against any judgment defendant and other persons who were not made parties to the action.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(C) If there is a judgment for the injury or wrongful death against the tortfeasor seeking contribution, any separate action by him to enforce contribution must be commenced within one year after the judgment has become final by lapse of time for appeal or after appellate review.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642B80" w:rsidRPr="00642B80">
        <w:rPr>
          <w:rFonts w:cs="Times New Roman"/>
        </w:rPr>
        <w:t>’</w:t>
      </w:r>
      <w:r w:rsidRPr="00642B80">
        <w:rPr>
          <w:rFonts w:cs="Times New Roman"/>
        </w:rPr>
        <w:t xml:space="preserve">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 </w:t>
      </w: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(F) The judgment of the court in determining the liability of the several defendants to the claimant for an injury or wrongful death shall be binding as among such defendants in determining their right to contribution.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50.</w:t>
      </w:r>
      <w:r w:rsidR="00730B0D" w:rsidRPr="00642B80">
        <w:rPr>
          <w:rFonts w:cs="Times New Roman"/>
        </w:rPr>
        <w:t xml:space="preserve"> Effect of release, covenant not to sue, or not to enforce judgment.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When a release or a covenant not to sue or not to enforce judgment is given in good faith to one of two or more persons liable in tort for the same injury or the same wrongful death: </w:t>
      </w:r>
    </w:p>
    <w:p w:rsidR="00730B0D"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 </w:t>
      </w: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(2) it discharges the tortfeasor to whom it is given from all liability for contribution to any other tortfeasor.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60.</w:t>
      </w:r>
      <w:r w:rsidR="00730B0D" w:rsidRPr="00642B80">
        <w:rPr>
          <w:rFonts w:cs="Times New Roman"/>
        </w:rPr>
        <w:t xml:space="preserve"> Construction of chapter.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This chapter shall be so interpreted and construed as to effectuate its general purpose to make uniform the law of those that enact it.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65.</w:t>
      </w:r>
      <w:r w:rsidR="00730B0D" w:rsidRPr="00642B80">
        <w:rPr>
          <w:rFonts w:cs="Times New Roman"/>
        </w:rPr>
        <w:t xml:space="preserve"> Uniform Contribution Among Tortfeasors Act not applicable to governmental entities.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b/>
        </w:rPr>
        <w:t xml:space="preserve">SECTION </w:t>
      </w:r>
      <w:r w:rsidR="00730B0D" w:rsidRPr="00642B80">
        <w:rPr>
          <w:rFonts w:cs="Times New Roman"/>
          <w:b/>
        </w:rPr>
        <w:t>15</w:t>
      </w:r>
      <w:r w:rsidRPr="00642B80">
        <w:rPr>
          <w:rFonts w:cs="Times New Roman"/>
          <w:b/>
        </w:rPr>
        <w:noBreakHyphen/>
      </w:r>
      <w:r w:rsidR="00730B0D" w:rsidRPr="00642B80">
        <w:rPr>
          <w:rFonts w:cs="Times New Roman"/>
          <w:b/>
        </w:rPr>
        <w:t>38</w:t>
      </w:r>
      <w:r w:rsidRPr="00642B80">
        <w:rPr>
          <w:rFonts w:cs="Times New Roman"/>
          <w:b/>
        </w:rPr>
        <w:noBreakHyphen/>
      </w:r>
      <w:r w:rsidR="00730B0D" w:rsidRPr="00642B80">
        <w:rPr>
          <w:rFonts w:cs="Times New Roman"/>
          <w:b/>
        </w:rPr>
        <w:t>70.</w:t>
      </w:r>
      <w:r w:rsidR="00730B0D" w:rsidRPr="00642B80">
        <w:rPr>
          <w:rFonts w:cs="Times New Roman"/>
        </w:rPr>
        <w:t xml:space="preserve"> Repeal of inconsistent acts. </w:t>
      </w:r>
    </w:p>
    <w:p w:rsid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2B80" w:rsidRPr="00642B80" w:rsidRDefault="00730B0D"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2B80">
        <w:rPr>
          <w:rFonts w:cs="Times New Roman"/>
        </w:rPr>
        <w:t xml:space="preserve">All acts or parts of acts which are inconsistent with the provisions of this chapter are hereby repealed. </w:t>
      </w:r>
    </w:p>
    <w:p w:rsidR="00642B80" w:rsidRPr="00642B80" w:rsidRDefault="00642B80"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2B80" w:rsidRDefault="00184435" w:rsidP="00642B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2B80" w:rsidSect="00642B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B80" w:rsidRDefault="00642B80" w:rsidP="00642B80">
      <w:r>
        <w:separator/>
      </w:r>
    </w:p>
  </w:endnote>
  <w:endnote w:type="continuationSeparator" w:id="0">
    <w:p w:rsidR="00642B80" w:rsidRDefault="00642B80" w:rsidP="00642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80" w:rsidRPr="00642B80" w:rsidRDefault="00642B80" w:rsidP="00642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80" w:rsidRPr="00642B80" w:rsidRDefault="00642B80" w:rsidP="00642B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80" w:rsidRPr="00642B80" w:rsidRDefault="00642B80" w:rsidP="00642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B80" w:rsidRDefault="00642B80" w:rsidP="00642B80">
      <w:r>
        <w:separator/>
      </w:r>
    </w:p>
  </w:footnote>
  <w:footnote w:type="continuationSeparator" w:id="0">
    <w:p w:rsidR="00642B80" w:rsidRDefault="00642B80" w:rsidP="00642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80" w:rsidRPr="00642B80" w:rsidRDefault="00642B80" w:rsidP="00642B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80" w:rsidRPr="00642B80" w:rsidRDefault="00642B80" w:rsidP="00642B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B80" w:rsidRPr="00642B80" w:rsidRDefault="00642B80" w:rsidP="00642B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0B0D"/>
    <w:rsid w:val="00184435"/>
    <w:rsid w:val="00642B80"/>
    <w:rsid w:val="00730B0D"/>
    <w:rsid w:val="00817EA2"/>
    <w:rsid w:val="0096174B"/>
    <w:rsid w:val="00A41C3E"/>
    <w:rsid w:val="00C43F44"/>
    <w:rsid w:val="00E1018E"/>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2B80"/>
    <w:pPr>
      <w:tabs>
        <w:tab w:val="center" w:pos="4680"/>
        <w:tab w:val="right" w:pos="9360"/>
      </w:tabs>
    </w:pPr>
  </w:style>
  <w:style w:type="character" w:customStyle="1" w:styleId="HeaderChar">
    <w:name w:val="Header Char"/>
    <w:basedOn w:val="DefaultParagraphFont"/>
    <w:link w:val="Header"/>
    <w:uiPriority w:val="99"/>
    <w:semiHidden/>
    <w:rsid w:val="00642B80"/>
  </w:style>
  <w:style w:type="paragraph" w:styleId="Footer">
    <w:name w:val="footer"/>
    <w:basedOn w:val="Normal"/>
    <w:link w:val="FooterChar"/>
    <w:uiPriority w:val="99"/>
    <w:semiHidden/>
    <w:unhideWhenUsed/>
    <w:rsid w:val="00642B80"/>
    <w:pPr>
      <w:tabs>
        <w:tab w:val="center" w:pos="4680"/>
        <w:tab w:val="right" w:pos="9360"/>
      </w:tabs>
    </w:pPr>
  </w:style>
  <w:style w:type="character" w:customStyle="1" w:styleId="FooterChar">
    <w:name w:val="Footer Char"/>
    <w:basedOn w:val="DefaultParagraphFont"/>
    <w:link w:val="Footer"/>
    <w:uiPriority w:val="99"/>
    <w:semiHidden/>
    <w:rsid w:val="00642B80"/>
  </w:style>
  <w:style w:type="paragraph" w:styleId="BalloonText">
    <w:name w:val="Balloon Text"/>
    <w:basedOn w:val="Normal"/>
    <w:link w:val="BalloonTextChar"/>
    <w:uiPriority w:val="99"/>
    <w:semiHidden/>
    <w:unhideWhenUsed/>
    <w:rsid w:val="00730B0D"/>
    <w:rPr>
      <w:rFonts w:ascii="Tahoma" w:hAnsi="Tahoma" w:cs="Tahoma"/>
      <w:sz w:val="16"/>
      <w:szCs w:val="16"/>
    </w:rPr>
  </w:style>
  <w:style w:type="character" w:customStyle="1" w:styleId="BalloonTextChar">
    <w:name w:val="Balloon Text Char"/>
    <w:basedOn w:val="DefaultParagraphFont"/>
    <w:link w:val="BalloonText"/>
    <w:uiPriority w:val="99"/>
    <w:semiHidden/>
    <w:rsid w:val="00730B0D"/>
    <w:rPr>
      <w:rFonts w:ascii="Tahoma" w:hAnsi="Tahoma" w:cs="Tahoma"/>
      <w:sz w:val="16"/>
      <w:szCs w:val="16"/>
    </w:rPr>
  </w:style>
  <w:style w:type="character" w:styleId="Hyperlink">
    <w:name w:val="Hyperlink"/>
    <w:basedOn w:val="DefaultParagraphFont"/>
    <w:semiHidden/>
    <w:rsid w:val="00A41C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1864</Words>
  <Characters>10630</Characters>
  <Application>Microsoft Office Word</Application>
  <DocSecurity>0</DocSecurity>
  <Lines>88</Lines>
  <Paragraphs>24</Paragraphs>
  <ScaleCrop>false</ScaleCrop>
  <Company>LPITS</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