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14" w:rsidRDefault="005A2114">
      <w:pPr>
        <w:jc w:val="center"/>
      </w:pPr>
      <w:r>
        <w:t>DISCLAIMER</w:t>
      </w:r>
    </w:p>
    <w:p w:rsidR="005A2114" w:rsidRDefault="005A2114"/>
    <w:p w:rsidR="005A2114" w:rsidRDefault="005A211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2114" w:rsidRDefault="005A2114"/>
    <w:p w:rsidR="005A2114" w:rsidRDefault="005A21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2114" w:rsidRDefault="005A2114"/>
    <w:p w:rsidR="005A2114" w:rsidRDefault="005A21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2114" w:rsidRDefault="005A2114"/>
    <w:p w:rsidR="005A2114" w:rsidRDefault="005A21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2114" w:rsidRDefault="005A2114"/>
    <w:p w:rsidR="005A2114" w:rsidRDefault="005A2114">
      <w:pPr>
        <w:rPr>
          <w:rFonts w:cs="Times New Roman"/>
        </w:rPr>
      </w:pPr>
      <w:r>
        <w:rPr>
          <w:rFonts w:cs="Times New Roman"/>
        </w:rPr>
        <w:br w:type="page"/>
      </w:r>
    </w:p>
    <w:p w:rsid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78F1">
        <w:rPr>
          <w:rFonts w:cs="Times New Roman"/>
        </w:rPr>
        <w:t>CHAPTER 1.</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78F1">
        <w:rPr>
          <w:rFonts w:cs="Times New Roman"/>
        </w:rPr>
        <w:t xml:space="preserve"> GENERAL PROVISIONS</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10.</w:t>
      </w:r>
      <w:r w:rsidR="001A1B6E" w:rsidRPr="004B78F1">
        <w:rPr>
          <w:rFonts w:cs="Times New Roman"/>
        </w:rPr>
        <w:t xml:space="preserve"> Manner of prosecuting criminal action.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A criminal action is prosecuted by the State, as a party, against a person charged with a public offense, for the punishment thereof.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20.</w:t>
      </w:r>
      <w:r w:rsidR="001A1B6E" w:rsidRPr="004B78F1">
        <w:rPr>
          <w:rFonts w:cs="Times New Roman"/>
        </w:rPr>
        <w:t xml:space="preserve"> Prosecuting officer shall not accept fees or rewards, nor act in a civil case as counsel for either party.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30.</w:t>
      </w:r>
      <w:r w:rsidR="001A1B6E" w:rsidRPr="004B78F1">
        <w:rPr>
          <w:rFonts w:cs="Times New Roman"/>
        </w:rPr>
        <w:t xml:space="preserve"> Rule of strict construction is inapplicable to this Title.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The rule of the common law that statutes in derogation of that law are to be strictly construed has no application to this Title.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40.</w:t>
      </w:r>
      <w:r w:rsidR="001A1B6E" w:rsidRPr="004B78F1">
        <w:rPr>
          <w:rFonts w:cs="Times New Roman"/>
        </w:rPr>
        <w:t xml:space="preserve"> Destruction of records where charges dismissed;  fee.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(A)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(B) A municipal, county, or state agency may not collect a fee for the destruction of records pursuant to the provisions of this section.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45.</w:t>
      </w:r>
      <w:r w:rsidR="001A1B6E" w:rsidRPr="004B78F1">
        <w:rPr>
          <w:rFonts w:cs="Times New Roman"/>
        </w:rPr>
        <w:t xml:space="preserve"> Expungement notice requirement.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South Carolina Court Administration shall include on all bond paperwork and courtesy summons the following notice:  </w:t>
      </w:r>
      <w:r w:rsidR="004B78F1" w:rsidRPr="004B78F1">
        <w:rPr>
          <w:rFonts w:cs="Times New Roman"/>
        </w:rPr>
        <w:t>“</w:t>
      </w:r>
      <w:r w:rsidRPr="004B78F1">
        <w:rPr>
          <w:rFonts w:cs="Times New Roman"/>
        </w:rPr>
        <w:t>If the charges that have been brought against you are discharged, dismissed, or nolle prossed or if you are found not guilty, you may have your record expunged.</w:t>
      </w:r>
      <w:r w:rsidR="004B78F1" w:rsidRPr="004B78F1">
        <w:rPr>
          <w:rFonts w:cs="Times New Roman"/>
        </w:rPr>
        <w:t>”</w:t>
      </w:r>
      <w:r w:rsidRPr="004B78F1">
        <w:rPr>
          <w:rFonts w:cs="Times New Roman"/>
        </w:rPr>
        <w:t xml:space="preserve">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b/>
        </w:rPr>
        <w:t xml:space="preserve">SECTION </w:t>
      </w:r>
      <w:r w:rsidR="001A1B6E" w:rsidRPr="004B78F1">
        <w:rPr>
          <w:rFonts w:cs="Times New Roman"/>
          <w:b/>
        </w:rPr>
        <w:t>17</w:t>
      </w:r>
      <w:r w:rsidRPr="004B78F1">
        <w:rPr>
          <w:rFonts w:cs="Times New Roman"/>
          <w:b/>
        </w:rPr>
        <w:noBreakHyphen/>
      </w:r>
      <w:r w:rsidR="001A1B6E" w:rsidRPr="004B78F1">
        <w:rPr>
          <w:rFonts w:cs="Times New Roman"/>
          <w:b/>
        </w:rPr>
        <w:t>1</w:t>
      </w:r>
      <w:r w:rsidRPr="004B78F1">
        <w:rPr>
          <w:rFonts w:cs="Times New Roman"/>
          <w:b/>
        </w:rPr>
        <w:noBreakHyphen/>
      </w:r>
      <w:r w:rsidR="001A1B6E" w:rsidRPr="004B78F1">
        <w:rPr>
          <w:rFonts w:cs="Times New Roman"/>
          <w:b/>
        </w:rPr>
        <w:t>50.</w:t>
      </w:r>
      <w:r w:rsidR="001A1B6E" w:rsidRPr="004B78F1">
        <w:rPr>
          <w:rFonts w:cs="Times New Roman"/>
        </w:rPr>
        <w:t xml:space="preserve"> Interpreters in criminal proceedings. </w:t>
      </w:r>
    </w:p>
    <w:p w:rsid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(A) As used in this section: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(1) </w:t>
      </w:r>
      <w:r w:rsidR="004B78F1" w:rsidRPr="004B78F1">
        <w:rPr>
          <w:rFonts w:cs="Times New Roman"/>
        </w:rPr>
        <w:t>“</w:t>
      </w:r>
      <w:r w:rsidRPr="004B78F1">
        <w:rPr>
          <w:rFonts w:cs="Times New Roman"/>
        </w:rPr>
        <w:t>Certified interpreter</w:t>
      </w:r>
      <w:r w:rsidR="004B78F1" w:rsidRPr="004B78F1">
        <w:rPr>
          <w:rFonts w:cs="Times New Roman"/>
        </w:rPr>
        <w:t>”</w:t>
      </w:r>
      <w:r w:rsidRPr="004B78F1">
        <w:rPr>
          <w:rFonts w:cs="Times New Roman"/>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(2) </w:t>
      </w:r>
      <w:r w:rsidR="004B78F1" w:rsidRPr="004B78F1">
        <w:rPr>
          <w:rFonts w:cs="Times New Roman"/>
        </w:rPr>
        <w:t>“</w:t>
      </w:r>
      <w:r w:rsidRPr="004B78F1">
        <w:rPr>
          <w:rFonts w:cs="Times New Roman"/>
        </w:rPr>
        <w:t>Legal proceeding</w:t>
      </w:r>
      <w:r w:rsidR="004B78F1" w:rsidRPr="004B78F1">
        <w:rPr>
          <w:rFonts w:cs="Times New Roman"/>
        </w:rPr>
        <w:t>”</w:t>
      </w:r>
      <w:r w:rsidRPr="004B78F1">
        <w:rPr>
          <w:rFonts w:cs="Times New Roman"/>
        </w:rPr>
        <w:t xml:space="preserve"> means a proceeding in which a nonEnglish speaking person is a party or a witness.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(3) </w:t>
      </w:r>
      <w:r w:rsidR="004B78F1" w:rsidRPr="004B78F1">
        <w:rPr>
          <w:rFonts w:cs="Times New Roman"/>
        </w:rPr>
        <w:t>“</w:t>
      </w:r>
      <w:r w:rsidRPr="004B78F1">
        <w:rPr>
          <w:rFonts w:cs="Times New Roman"/>
        </w:rPr>
        <w:t>NonEnglish speaking person</w:t>
      </w:r>
      <w:r w:rsidR="004B78F1" w:rsidRPr="004B78F1">
        <w:rPr>
          <w:rFonts w:cs="Times New Roman"/>
        </w:rPr>
        <w:t>”</w:t>
      </w:r>
      <w:r w:rsidRPr="004B78F1">
        <w:rPr>
          <w:rFonts w:cs="Times New Roman"/>
        </w:rPr>
        <w:t xml:space="preserve"> means a party or a witness participating in a legal proceeding who has limited ability to speak or understand the English language.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(4) </w:t>
      </w:r>
      <w:r w:rsidR="004B78F1" w:rsidRPr="004B78F1">
        <w:rPr>
          <w:rFonts w:cs="Times New Roman"/>
        </w:rPr>
        <w:t>“</w:t>
      </w:r>
      <w:r w:rsidRPr="004B78F1">
        <w:rPr>
          <w:rFonts w:cs="Times New Roman"/>
        </w:rPr>
        <w:t>Qualified interpreter</w:t>
      </w:r>
      <w:r w:rsidR="004B78F1" w:rsidRPr="004B78F1">
        <w:rPr>
          <w:rFonts w:cs="Times New Roman"/>
        </w:rPr>
        <w:t>”</w:t>
      </w:r>
      <w:r w:rsidRPr="004B78F1">
        <w:rPr>
          <w:rFonts w:cs="Times New Roman"/>
        </w:rPr>
        <w:t xml:space="preserve"> means a person who: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(a) is eighteen years of age or older;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(b) is not a family member of a party or a witness;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(c) is not a person confined to an institution;  and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(d) has education, training, or experience that enables him to speak English and a foreign language fluently, and is readily able to interpret simultaneously and consecutively and to sight</w:t>
      </w:r>
      <w:r w:rsidR="004B78F1" w:rsidRPr="004B78F1">
        <w:rPr>
          <w:rFonts w:cs="Times New Roman"/>
        </w:rPr>
        <w:noBreakHyphen/>
      </w:r>
      <w:r w:rsidRPr="004B78F1">
        <w:rPr>
          <w:rFonts w:cs="Times New Roman"/>
        </w:rPr>
        <w:t xml:space="preserve">translate documents from English into the language of a nonEnglish speaking person, or from the language of that person into spoken English.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(5) </w:t>
      </w:r>
      <w:r w:rsidR="004B78F1" w:rsidRPr="004B78F1">
        <w:rPr>
          <w:rFonts w:cs="Times New Roman"/>
        </w:rPr>
        <w:t>“</w:t>
      </w:r>
      <w:r w:rsidRPr="004B78F1">
        <w:rPr>
          <w:rFonts w:cs="Times New Roman"/>
        </w:rPr>
        <w:t>Victim</w:t>
      </w:r>
      <w:r w:rsidR="004B78F1" w:rsidRPr="004B78F1">
        <w:rPr>
          <w:rFonts w:cs="Times New Roman"/>
        </w:rPr>
        <w:t>”</w:t>
      </w:r>
      <w:r w:rsidRPr="004B78F1">
        <w:rPr>
          <w:rFonts w:cs="Times New Roman"/>
        </w:rPr>
        <w:t xml:space="preserve"> means a victim as defined in Section 16</w:t>
      </w:r>
      <w:r w:rsidR="004B78F1" w:rsidRPr="004B78F1">
        <w:rPr>
          <w:rFonts w:cs="Times New Roman"/>
        </w:rPr>
        <w:noBreakHyphen/>
      </w:r>
      <w:r w:rsidRPr="004B78F1">
        <w:rPr>
          <w:rFonts w:cs="Times New Roman"/>
        </w:rPr>
        <w:t>3</w:t>
      </w:r>
      <w:r w:rsidR="004B78F1" w:rsidRPr="004B78F1">
        <w:rPr>
          <w:rFonts w:cs="Times New Roman"/>
        </w:rPr>
        <w:noBreakHyphen/>
      </w:r>
      <w:r w:rsidRPr="004B78F1">
        <w:rPr>
          <w:rFonts w:cs="Times New Roman"/>
        </w:rPr>
        <w:t xml:space="preserve">1110.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(6) </w:t>
      </w:r>
      <w:r w:rsidR="004B78F1" w:rsidRPr="004B78F1">
        <w:rPr>
          <w:rFonts w:cs="Times New Roman"/>
        </w:rPr>
        <w:t>“</w:t>
      </w:r>
      <w:r w:rsidRPr="004B78F1">
        <w:rPr>
          <w:rFonts w:cs="Times New Roman"/>
        </w:rPr>
        <w:t>Witness</w:t>
      </w:r>
      <w:r w:rsidR="004B78F1" w:rsidRPr="004B78F1">
        <w:rPr>
          <w:rFonts w:cs="Times New Roman"/>
        </w:rPr>
        <w:t>”</w:t>
      </w:r>
      <w:r w:rsidRPr="004B78F1">
        <w:rPr>
          <w:rFonts w:cs="Times New Roman"/>
        </w:rPr>
        <w:t xml:space="preserve"> means a person who testifies in a legal proceeding.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 </w:t>
      </w:r>
    </w:p>
    <w:p w:rsidR="001A1B6E"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4B78F1" w:rsidRPr="004B78F1" w:rsidRDefault="001A1B6E"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78F1">
        <w:rPr>
          <w:rFonts w:cs="Times New Roman"/>
        </w:rPr>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 </w:t>
      </w:r>
    </w:p>
    <w:p w:rsidR="004B78F1" w:rsidRPr="004B78F1" w:rsidRDefault="004B78F1"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78F1" w:rsidRDefault="00184435" w:rsidP="004B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78F1" w:rsidSect="004B78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F1" w:rsidRDefault="004B78F1" w:rsidP="004B78F1">
      <w:r>
        <w:separator/>
      </w:r>
    </w:p>
  </w:endnote>
  <w:endnote w:type="continuationSeparator" w:id="0">
    <w:p w:rsidR="004B78F1" w:rsidRDefault="004B78F1" w:rsidP="004B7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F1" w:rsidRDefault="004B78F1" w:rsidP="004B78F1">
      <w:r>
        <w:separator/>
      </w:r>
    </w:p>
  </w:footnote>
  <w:footnote w:type="continuationSeparator" w:id="0">
    <w:p w:rsidR="004B78F1" w:rsidRDefault="004B78F1" w:rsidP="004B7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F1" w:rsidRPr="004B78F1" w:rsidRDefault="004B78F1" w:rsidP="004B78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1B6E"/>
    <w:rsid w:val="00102C88"/>
    <w:rsid w:val="00184435"/>
    <w:rsid w:val="001A1B6E"/>
    <w:rsid w:val="004B78F1"/>
    <w:rsid w:val="005A2114"/>
    <w:rsid w:val="00817EA2"/>
    <w:rsid w:val="0082737D"/>
    <w:rsid w:val="00C43F44"/>
    <w:rsid w:val="00CC0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78F1"/>
    <w:pPr>
      <w:tabs>
        <w:tab w:val="center" w:pos="4680"/>
        <w:tab w:val="right" w:pos="9360"/>
      </w:tabs>
    </w:pPr>
  </w:style>
  <w:style w:type="character" w:customStyle="1" w:styleId="HeaderChar">
    <w:name w:val="Header Char"/>
    <w:basedOn w:val="DefaultParagraphFont"/>
    <w:link w:val="Header"/>
    <w:uiPriority w:val="99"/>
    <w:semiHidden/>
    <w:rsid w:val="004B78F1"/>
  </w:style>
  <w:style w:type="paragraph" w:styleId="Footer">
    <w:name w:val="footer"/>
    <w:basedOn w:val="Normal"/>
    <w:link w:val="FooterChar"/>
    <w:uiPriority w:val="99"/>
    <w:semiHidden/>
    <w:unhideWhenUsed/>
    <w:rsid w:val="004B78F1"/>
    <w:pPr>
      <w:tabs>
        <w:tab w:val="center" w:pos="4680"/>
        <w:tab w:val="right" w:pos="9360"/>
      </w:tabs>
    </w:pPr>
  </w:style>
  <w:style w:type="character" w:customStyle="1" w:styleId="FooterChar">
    <w:name w:val="Footer Char"/>
    <w:basedOn w:val="DefaultParagraphFont"/>
    <w:link w:val="Footer"/>
    <w:uiPriority w:val="99"/>
    <w:semiHidden/>
    <w:rsid w:val="004B78F1"/>
  </w:style>
  <w:style w:type="paragraph" w:styleId="BalloonText">
    <w:name w:val="Balloon Text"/>
    <w:basedOn w:val="Normal"/>
    <w:link w:val="BalloonTextChar"/>
    <w:uiPriority w:val="99"/>
    <w:semiHidden/>
    <w:unhideWhenUsed/>
    <w:rsid w:val="004B78F1"/>
    <w:rPr>
      <w:rFonts w:ascii="Tahoma" w:hAnsi="Tahoma" w:cs="Tahoma"/>
      <w:sz w:val="16"/>
      <w:szCs w:val="16"/>
    </w:rPr>
  </w:style>
  <w:style w:type="character" w:customStyle="1" w:styleId="BalloonTextChar">
    <w:name w:val="Balloon Text Char"/>
    <w:basedOn w:val="DefaultParagraphFont"/>
    <w:link w:val="BalloonText"/>
    <w:uiPriority w:val="99"/>
    <w:semiHidden/>
    <w:rsid w:val="004B78F1"/>
    <w:rPr>
      <w:rFonts w:ascii="Tahoma" w:hAnsi="Tahoma" w:cs="Tahoma"/>
      <w:sz w:val="16"/>
      <w:szCs w:val="16"/>
    </w:rPr>
  </w:style>
  <w:style w:type="character" w:styleId="Hyperlink">
    <w:name w:val="Hyperlink"/>
    <w:basedOn w:val="DefaultParagraphFont"/>
    <w:semiHidden/>
    <w:rsid w:val="005A21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6696</Characters>
  <Application>Microsoft Office Word</Application>
  <DocSecurity>0</DocSecurity>
  <Lines>55</Lines>
  <Paragraphs>15</Paragraphs>
  <ScaleCrop>false</ScaleCrop>
  <Company>LPITS</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