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A5" w:rsidRDefault="004661A5">
      <w:pPr>
        <w:jc w:val="center"/>
      </w:pPr>
      <w:r>
        <w:t>DISCLAIMER</w:t>
      </w:r>
    </w:p>
    <w:p w:rsidR="004661A5" w:rsidRDefault="004661A5"/>
    <w:p w:rsidR="004661A5" w:rsidRDefault="004661A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61A5" w:rsidRDefault="004661A5"/>
    <w:p w:rsidR="004661A5" w:rsidRDefault="004661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61A5" w:rsidRDefault="004661A5"/>
    <w:p w:rsidR="004661A5" w:rsidRDefault="004661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61A5" w:rsidRDefault="004661A5"/>
    <w:p w:rsidR="004661A5" w:rsidRDefault="004661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61A5" w:rsidRDefault="004661A5"/>
    <w:p w:rsidR="004661A5" w:rsidRDefault="004661A5">
      <w:pPr>
        <w:rPr>
          <w:rFonts w:cs="Times New Roman"/>
        </w:rPr>
      </w:pPr>
      <w:r>
        <w:rPr>
          <w:rFonts w:cs="Times New Roman"/>
        </w:rPr>
        <w:br w:type="page"/>
      </w:r>
    </w:p>
    <w:p w:rsid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3098">
        <w:rPr>
          <w:rFonts w:cs="Times New Roman"/>
        </w:rPr>
        <w:t>CHAPTER 6.</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3098">
        <w:rPr>
          <w:rFonts w:cs="Times New Roman"/>
        </w:rPr>
        <w:t xml:space="preserve"> UNIFORM STATUTORY RULE AGAINST PERPETUITIES</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10.</w:t>
      </w:r>
      <w:r w:rsidR="00D60575" w:rsidRPr="007B3098">
        <w:rPr>
          <w:rFonts w:cs="Times New Roman"/>
        </w:rPr>
        <w:t xml:space="preserve"> Short title.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This chapter may be cited as the Uniform Statutory Rule Against Perpetuities.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20.</w:t>
      </w:r>
      <w:r w:rsidR="00D60575" w:rsidRPr="007B3098">
        <w:rPr>
          <w:rFonts w:cs="Times New Roman"/>
        </w:rPr>
        <w:t xml:space="preserve"> Nonvested property interest or power of appointment.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(A) A nonvested property interest is invalid unless: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(1) when the interest is created, it is certain to vest or terminate no later than twenty</w:t>
      </w:r>
      <w:r w:rsidR="007B3098" w:rsidRPr="007B3098">
        <w:rPr>
          <w:rFonts w:cs="Times New Roman"/>
        </w:rPr>
        <w:noBreakHyphen/>
      </w:r>
      <w:r w:rsidRPr="007B3098">
        <w:rPr>
          <w:rFonts w:cs="Times New Roman"/>
        </w:rPr>
        <w:t xml:space="preserve">one years after the death of an individual then alive;  or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(2) the interest either vests or terminates within ninety years after its creation.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(B) A general power of appointment not presently exercisable because of a condition precedent is invalid unless: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(1) when the power is created, the condition precedent is certain to be satisfied or become impossible to satisfy no later than twenty</w:t>
      </w:r>
      <w:r w:rsidR="007B3098" w:rsidRPr="007B3098">
        <w:rPr>
          <w:rFonts w:cs="Times New Roman"/>
        </w:rPr>
        <w:noBreakHyphen/>
      </w:r>
      <w:r w:rsidRPr="007B3098">
        <w:rPr>
          <w:rFonts w:cs="Times New Roman"/>
        </w:rPr>
        <w:t xml:space="preserve">one years after the death of an individual then alive;  or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(2) the condition precedent either is satisfied or becomes impossible to satisfy within ninety years after its creation.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(C) A nongeneral power of appointment or a general testamentary power of appointment is invalid unless: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(1) when the power is created, it is certain to be irrevocably exercised or to terminate no later than twenty</w:t>
      </w:r>
      <w:r w:rsidR="007B3098" w:rsidRPr="007B3098">
        <w:rPr>
          <w:rFonts w:cs="Times New Roman"/>
        </w:rPr>
        <w:noBreakHyphen/>
      </w:r>
      <w:r w:rsidRPr="007B3098">
        <w:rPr>
          <w:rFonts w:cs="Times New Roman"/>
        </w:rPr>
        <w:t xml:space="preserve">one years after the death of an individual then alive;  or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(2) the power is irrevocably exercised or terminates within ninety years after its creation. </w:t>
      </w: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(D) In determining whether a nonvested property interest or a power of appointment is valid under subsection (A)(1), (B)(1), or (C)(1), the possibility that a child will be born to an individual after the individual</w:t>
      </w:r>
      <w:r w:rsidR="007B3098" w:rsidRPr="007B3098">
        <w:rPr>
          <w:rFonts w:cs="Times New Roman"/>
        </w:rPr>
        <w:t>’</w:t>
      </w:r>
      <w:r w:rsidRPr="007B3098">
        <w:rPr>
          <w:rFonts w:cs="Times New Roman"/>
        </w:rPr>
        <w:t xml:space="preserve">s death is disregarded.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30.</w:t>
      </w:r>
      <w:r w:rsidR="00D60575" w:rsidRPr="007B3098">
        <w:rPr>
          <w:rFonts w:cs="Times New Roman"/>
        </w:rPr>
        <w:t xml:space="preserve"> Creation of property interests and powers of appointment.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(A) Except as provided in subsections (B) and (C) and in </w:t>
      </w:r>
      <w:r w:rsidR="007B3098" w:rsidRPr="007B3098">
        <w:rPr>
          <w:rFonts w:cs="Times New Roman"/>
        </w:rPr>
        <w:t xml:space="preserve">Section </w:t>
      </w:r>
      <w:r w:rsidRPr="007B3098">
        <w:rPr>
          <w:rFonts w:cs="Times New Roman"/>
        </w:rPr>
        <w:t>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60(A), the time of creation of a nonvested property interest or a power of appointment is determined under general principles of property law.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(B) If there is a person who alone can exercise a power created by a governing instrument to become the unqualified beneficial owner of (i) a nonvested property interest or (ii) a property interest subject to a power of appointment described in </w:t>
      </w:r>
      <w:r w:rsidR="007B3098" w:rsidRPr="007B3098">
        <w:rPr>
          <w:rFonts w:cs="Times New Roman"/>
        </w:rPr>
        <w:t xml:space="preserve">Section </w:t>
      </w:r>
      <w:r w:rsidRPr="007B3098">
        <w:rPr>
          <w:rFonts w:cs="Times New Roman"/>
        </w:rPr>
        <w:t>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20(B) or 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 </w:t>
      </w: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(C) A nonvested property interest or a power of appointment arising from a transfer of property to a previously funded trust or other existing property arrangement is created when the nonvested property interest or power of appointment in the original contribution was created.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40.</w:t>
      </w:r>
      <w:r w:rsidR="00D60575" w:rsidRPr="007B3098">
        <w:rPr>
          <w:rFonts w:cs="Times New Roman"/>
        </w:rPr>
        <w:t xml:space="preserve"> Reformation of property dispositions.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Upon the petition of an interested person, a court shall reform a disposition in the manner that most closely approximates the transferor</w:t>
      </w:r>
      <w:r w:rsidR="007B3098" w:rsidRPr="007B3098">
        <w:rPr>
          <w:rFonts w:cs="Times New Roman"/>
        </w:rPr>
        <w:t>’</w:t>
      </w:r>
      <w:r w:rsidRPr="007B3098">
        <w:rPr>
          <w:rFonts w:cs="Times New Roman"/>
        </w:rPr>
        <w:t xml:space="preserve">s manifested plan of distribution and is within the ninety years permitted by this chapter if: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(1) a nonvested property interest or a power of appointment becomes invalid under </w:t>
      </w:r>
      <w:r w:rsidR="007B3098" w:rsidRPr="007B3098">
        <w:rPr>
          <w:rFonts w:cs="Times New Roman"/>
        </w:rPr>
        <w:t xml:space="preserve">Section </w:t>
      </w:r>
      <w:r w:rsidRPr="007B3098">
        <w:rPr>
          <w:rFonts w:cs="Times New Roman"/>
        </w:rPr>
        <w:t>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20;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(2) a class gift is not but may become invalid under </w:t>
      </w:r>
      <w:r w:rsidR="007B3098" w:rsidRPr="007B3098">
        <w:rPr>
          <w:rFonts w:cs="Times New Roman"/>
        </w:rPr>
        <w:t xml:space="preserve">Section </w:t>
      </w:r>
      <w:r w:rsidRPr="007B3098">
        <w:rPr>
          <w:rFonts w:cs="Times New Roman"/>
        </w:rPr>
        <w:t>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20 and the time has arrived when the share of any class member is to take effect in possession or enjoyment;  or </w:t>
      </w: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(3) a nonvested property interest that is not validated by </w:t>
      </w:r>
      <w:r w:rsidR="007B3098" w:rsidRPr="007B3098">
        <w:rPr>
          <w:rFonts w:cs="Times New Roman"/>
        </w:rPr>
        <w:t xml:space="preserve">Section </w:t>
      </w:r>
      <w:r w:rsidRPr="007B3098">
        <w:rPr>
          <w:rFonts w:cs="Times New Roman"/>
        </w:rPr>
        <w:t>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20(A)(1) can vest but not within ninety years after its creation.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50.</w:t>
      </w:r>
      <w:r w:rsidR="00D60575" w:rsidRPr="007B3098">
        <w:rPr>
          <w:rFonts w:cs="Times New Roman"/>
        </w:rPr>
        <w:t xml:space="preserve"> Exceptions to rule.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Section 27</w:t>
      </w:r>
      <w:r w:rsidR="007B3098" w:rsidRPr="007B3098">
        <w:rPr>
          <w:rFonts w:cs="Times New Roman"/>
        </w:rPr>
        <w:noBreakHyphen/>
      </w:r>
      <w:r w:rsidRPr="007B3098">
        <w:rPr>
          <w:rFonts w:cs="Times New Roman"/>
        </w:rPr>
        <w:t>6</w:t>
      </w:r>
      <w:r w:rsidR="007B3098" w:rsidRPr="007B3098">
        <w:rPr>
          <w:rFonts w:cs="Times New Roman"/>
        </w:rPr>
        <w:noBreakHyphen/>
      </w:r>
      <w:r w:rsidRPr="007B3098">
        <w:rPr>
          <w:rFonts w:cs="Times New Roman"/>
        </w:rPr>
        <w:t xml:space="preserve">20 does not apply to: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7B3098" w:rsidRPr="007B3098">
        <w:rPr>
          <w:rFonts w:cs="Times New Roman"/>
        </w:rPr>
        <w:t>’</w:t>
      </w:r>
      <w:r w:rsidRPr="007B3098">
        <w:rPr>
          <w:rFonts w:cs="Times New Roman"/>
        </w:rPr>
        <w:t xml:space="preserv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(2) a fiduciary</w:t>
      </w:r>
      <w:r w:rsidR="007B3098" w:rsidRPr="007B3098">
        <w:rPr>
          <w:rFonts w:cs="Times New Roman"/>
        </w:rPr>
        <w:t>’</w:t>
      </w:r>
      <w:r w:rsidRPr="007B3098">
        <w:rPr>
          <w:rFonts w:cs="Times New Roman"/>
        </w:rPr>
        <w:t xml:space="preserve">s power relating to the administration or management of assets, including the power of a fiduciary to sell, lease, or mortgage property, and the power of a fiduciary to determine principal and income;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(3) a power to appoint a fiduciary;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(4) a discretionary power of a trustee to distribute principal before termination of a trust to a beneficiary having an indefeasibly vested interest in the income and principal;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(5) a nonvested property interest held by a charity, government, or governmental agency or subdivision, if the nonvested property interest is preceded by an interest held by another charity, government, or governmental agency or subdivision; </w:t>
      </w: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(6) a nonvested property interest in or a power of appointment with respect to a trust or other property arrangement forming part of a pension, profit</w:t>
      </w:r>
      <w:r w:rsidR="007B3098" w:rsidRPr="007B3098">
        <w:rPr>
          <w:rFonts w:cs="Times New Roman"/>
        </w:rPr>
        <w:noBreakHyphen/>
      </w:r>
      <w:r w:rsidRPr="007B3098">
        <w:rPr>
          <w:rFonts w:cs="Times New Roman"/>
        </w:rPr>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 </w:t>
      </w: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7B3098" w:rsidRPr="007B3098">
        <w:rPr>
          <w:rFonts w:cs="Times New Roman"/>
        </w:rPr>
        <w:noBreakHyphen/>
      </w:r>
      <w:r w:rsidRPr="007B3098">
        <w:rPr>
          <w:rFonts w:cs="Times New Roman"/>
        </w:rPr>
        <w:t>7</w:t>
      </w:r>
      <w:r w:rsidR="007B3098" w:rsidRPr="007B3098">
        <w:rPr>
          <w:rFonts w:cs="Times New Roman"/>
        </w:rPr>
        <w:noBreakHyphen/>
      </w:r>
      <w:r w:rsidRPr="007B3098">
        <w:rPr>
          <w:rFonts w:cs="Times New Roman"/>
        </w:rPr>
        <w:t>30, 27</w:t>
      </w:r>
      <w:r w:rsidR="007B3098" w:rsidRPr="007B3098">
        <w:rPr>
          <w:rFonts w:cs="Times New Roman"/>
        </w:rPr>
        <w:noBreakHyphen/>
      </w:r>
      <w:r w:rsidRPr="007B3098">
        <w:rPr>
          <w:rFonts w:cs="Times New Roman"/>
        </w:rPr>
        <w:t>5</w:t>
      </w:r>
      <w:r w:rsidR="007B3098" w:rsidRPr="007B3098">
        <w:rPr>
          <w:rFonts w:cs="Times New Roman"/>
        </w:rPr>
        <w:noBreakHyphen/>
      </w:r>
      <w:r w:rsidRPr="007B3098">
        <w:rPr>
          <w:rFonts w:cs="Times New Roman"/>
        </w:rPr>
        <w:t>70, 27</w:t>
      </w:r>
      <w:r w:rsidR="007B3098" w:rsidRPr="007B3098">
        <w:rPr>
          <w:rFonts w:cs="Times New Roman"/>
        </w:rPr>
        <w:noBreakHyphen/>
      </w:r>
      <w:r w:rsidRPr="007B3098">
        <w:rPr>
          <w:rFonts w:cs="Times New Roman"/>
        </w:rPr>
        <w:t>5</w:t>
      </w:r>
      <w:r w:rsidR="007B3098" w:rsidRPr="007B3098">
        <w:rPr>
          <w:rFonts w:cs="Times New Roman"/>
        </w:rPr>
        <w:noBreakHyphen/>
      </w:r>
      <w:r w:rsidRPr="007B3098">
        <w:rPr>
          <w:rFonts w:cs="Times New Roman"/>
        </w:rPr>
        <w:t>80, 33</w:t>
      </w:r>
      <w:r w:rsidR="007B3098" w:rsidRPr="007B3098">
        <w:rPr>
          <w:rFonts w:cs="Times New Roman"/>
        </w:rPr>
        <w:noBreakHyphen/>
      </w:r>
      <w:r w:rsidRPr="007B3098">
        <w:rPr>
          <w:rFonts w:cs="Times New Roman"/>
        </w:rPr>
        <w:t>53</w:t>
      </w:r>
      <w:r w:rsidR="007B3098" w:rsidRPr="007B3098">
        <w:rPr>
          <w:rFonts w:cs="Times New Roman"/>
        </w:rPr>
        <w:noBreakHyphen/>
      </w:r>
      <w:r w:rsidRPr="007B3098">
        <w:rPr>
          <w:rFonts w:cs="Times New Roman"/>
        </w:rPr>
        <w:t>30, 39</w:t>
      </w:r>
      <w:r w:rsidR="007B3098" w:rsidRPr="007B3098">
        <w:rPr>
          <w:rFonts w:cs="Times New Roman"/>
        </w:rPr>
        <w:noBreakHyphen/>
      </w:r>
      <w:r w:rsidRPr="007B3098">
        <w:rPr>
          <w:rFonts w:cs="Times New Roman"/>
        </w:rPr>
        <w:t>55</w:t>
      </w:r>
      <w:r w:rsidR="007B3098" w:rsidRPr="007B3098">
        <w:rPr>
          <w:rFonts w:cs="Times New Roman"/>
        </w:rPr>
        <w:noBreakHyphen/>
      </w:r>
      <w:r w:rsidRPr="007B3098">
        <w:rPr>
          <w:rFonts w:cs="Times New Roman"/>
        </w:rPr>
        <w:t>135, and 62</w:t>
      </w:r>
      <w:r w:rsidR="007B3098" w:rsidRPr="007B3098">
        <w:rPr>
          <w:rFonts w:cs="Times New Roman"/>
        </w:rPr>
        <w:noBreakHyphen/>
      </w:r>
      <w:r w:rsidRPr="007B3098">
        <w:rPr>
          <w:rFonts w:cs="Times New Roman"/>
        </w:rPr>
        <w:t>7</w:t>
      </w:r>
      <w:r w:rsidR="007B3098" w:rsidRPr="007B3098">
        <w:rPr>
          <w:rFonts w:cs="Times New Roman"/>
        </w:rPr>
        <w:noBreakHyphen/>
      </w:r>
      <w:r w:rsidRPr="007B3098">
        <w:rPr>
          <w:rFonts w:cs="Times New Roman"/>
        </w:rPr>
        <w:t xml:space="preserve">909.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60.</w:t>
      </w:r>
      <w:r w:rsidR="00D60575" w:rsidRPr="007B3098">
        <w:rPr>
          <w:rFonts w:cs="Times New Roman"/>
        </w:rPr>
        <w:t xml:space="preserve"> Effect of timing of creation of property interest;  savings clause.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0575"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 </w:t>
      </w: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(B) If a nonvested property interest or a power of appointment was created before July 1, 1987, and is determined in a judicial proceeding, commenced on or after July 1, 1987, to violate this State</w:t>
      </w:r>
      <w:r w:rsidR="007B3098" w:rsidRPr="007B3098">
        <w:rPr>
          <w:rFonts w:cs="Times New Roman"/>
        </w:rPr>
        <w:t>’</w:t>
      </w:r>
      <w:r w:rsidRPr="007B3098">
        <w:rPr>
          <w:rFonts w:cs="Times New Roman"/>
        </w:rPr>
        <w:t>s rule against perpetuities as that rule existed before July 1, 1987, a court upon the petition of an interested person shall reform the disposition by inserting a savings clause that preserves most closely the transferor</w:t>
      </w:r>
      <w:r w:rsidR="007B3098" w:rsidRPr="007B3098">
        <w:rPr>
          <w:rFonts w:cs="Times New Roman"/>
        </w:rPr>
        <w:t>’</w:t>
      </w:r>
      <w:r w:rsidRPr="007B3098">
        <w:rPr>
          <w:rFonts w:cs="Times New Roman"/>
        </w:rPr>
        <w:t xml:space="preserve">s plan of distribution and that brings that plan within the limits of the rule against perpetuities applicable when the nonvested property interest or power of appointment was created.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70.</w:t>
      </w:r>
      <w:r w:rsidR="00D60575" w:rsidRPr="007B3098">
        <w:rPr>
          <w:rFonts w:cs="Times New Roman"/>
        </w:rPr>
        <w:t xml:space="preserve"> Application and construction.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This chapter shall be applied and construed to effectuate its general purpose to make uniform the law with respect to the subject of this chapter among states enacting it.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b/>
        </w:rPr>
        <w:t xml:space="preserve">SECTION </w:t>
      </w:r>
      <w:r w:rsidR="00D60575" w:rsidRPr="007B3098">
        <w:rPr>
          <w:rFonts w:cs="Times New Roman"/>
          <w:b/>
        </w:rPr>
        <w:t>27</w:t>
      </w:r>
      <w:r w:rsidRPr="007B3098">
        <w:rPr>
          <w:rFonts w:cs="Times New Roman"/>
          <w:b/>
        </w:rPr>
        <w:noBreakHyphen/>
      </w:r>
      <w:r w:rsidR="00D60575" w:rsidRPr="007B3098">
        <w:rPr>
          <w:rFonts w:cs="Times New Roman"/>
          <w:b/>
        </w:rPr>
        <w:t>6</w:t>
      </w:r>
      <w:r w:rsidRPr="007B3098">
        <w:rPr>
          <w:rFonts w:cs="Times New Roman"/>
          <w:b/>
        </w:rPr>
        <w:noBreakHyphen/>
      </w:r>
      <w:r w:rsidR="00D60575" w:rsidRPr="007B3098">
        <w:rPr>
          <w:rFonts w:cs="Times New Roman"/>
          <w:b/>
        </w:rPr>
        <w:t>80.</w:t>
      </w:r>
      <w:r w:rsidR="00D60575" w:rsidRPr="007B3098">
        <w:rPr>
          <w:rFonts w:cs="Times New Roman"/>
        </w:rPr>
        <w:t xml:space="preserve"> Effect on common law. </w:t>
      </w:r>
    </w:p>
    <w:p w:rsid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098" w:rsidRPr="007B3098" w:rsidRDefault="00D6057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3098">
        <w:rPr>
          <w:rFonts w:cs="Times New Roman"/>
        </w:rPr>
        <w:t xml:space="preserve">This chapter supersedes the common law rule against perpetuities. </w:t>
      </w:r>
    </w:p>
    <w:p w:rsidR="007B3098" w:rsidRPr="007B3098" w:rsidRDefault="007B3098"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3098" w:rsidRDefault="00184435" w:rsidP="007B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3098" w:rsidSect="007B30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98" w:rsidRDefault="007B3098" w:rsidP="007B3098">
      <w:r>
        <w:separator/>
      </w:r>
    </w:p>
  </w:endnote>
  <w:endnote w:type="continuationSeparator" w:id="0">
    <w:p w:rsidR="007B3098" w:rsidRDefault="007B3098" w:rsidP="007B3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98" w:rsidRDefault="007B3098" w:rsidP="007B3098">
      <w:r>
        <w:separator/>
      </w:r>
    </w:p>
  </w:footnote>
  <w:footnote w:type="continuationSeparator" w:id="0">
    <w:p w:rsidR="007B3098" w:rsidRDefault="007B3098" w:rsidP="007B3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98" w:rsidRPr="007B3098" w:rsidRDefault="007B3098" w:rsidP="007B30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0575"/>
    <w:rsid w:val="000D6AB2"/>
    <w:rsid w:val="00184435"/>
    <w:rsid w:val="004661A5"/>
    <w:rsid w:val="007B3098"/>
    <w:rsid w:val="00817EA2"/>
    <w:rsid w:val="00A8267C"/>
    <w:rsid w:val="00C43F44"/>
    <w:rsid w:val="00D60575"/>
    <w:rsid w:val="00E21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098"/>
    <w:pPr>
      <w:tabs>
        <w:tab w:val="center" w:pos="4680"/>
        <w:tab w:val="right" w:pos="9360"/>
      </w:tabs>
    </w:pPr>
  </w:style>
  <w:style w:type="character" w:customStyle="1" w:styleId="HeaderChar">
    <w:name w:val="Header Char"/>
    <w:basedOn w:val="DefaultParagraphFont"/>
    <w:link w:val="Header"/>
    <w:uiPriority w:val="99"/>
    <w:semiHidden/>
    <w:rsid w:val="007B3098"/>
  </w:style>
  <w:style w:type="paragraph" w:styleId="Footer">
    <w:name w:val="footer"/>
    <w:basedOn w:val="Normal"/>
    <w:link w:val="FooterChar"/>
    <w:uiPriority w:val="99"/>
    <w:semiHidden/>
    <w:unhideWhenUsed/>
    <w:rsid w:val="007B3098"/>
    <w:pPr>
      <w:tabs>
        <w:tab w:val="center" w:pos="4680"/>
        <w:tab w:val="right" w:pos="9360"/>
      </w:tabs>
    </w:pPr>
  </w:style>
  <w:style w:type="character" w:customStyle="1" w:styleId="FooterChar">
    <w:name w:val="Footer Char"/>
    <w:basedOn w:val="DefaultParagraphFont"/>
    <w:link w:val="Footer"/>
    <w:uiPriority w:val="99"/>
    <w:semiHidden/>
    <w:rsid w:val="007B3098"/>
  </w:style>
  <w:style w:type="paragraph" w:styleId="BalloonText">
    <w:name w:val="Balloon Text"/>
    <w:basedOn w:val="Normal"/>
    <w:link w:val="BalloonTextChar"/>
    <w:uiPriority w:val="99"/>
    <w:semiHidden/>
    <w:unhideWhenUsed/>
    <w:rsid w:val="00D60575"/>
    <w:rPr>
      <w:rFonts w:ascii="Tahoma" w:hAnsi="Tahoma" w:cs="Tahoma"/>
      <w:sz w:val="16"/>
      <w:szCs w:val="16"/>
    </w:rPr>
  </w:style>
  <w:style w:type="character" w:customStyle="1" w:styleId="BalloonTextChar">
    <w:name w:val="Balloon Text Char"/>
    <w:basedOn w:val="DefaultParagraphFont"/>
    <w:link w:val="BalloonText"/>
    <w:uiPriority w:val="99"/>
    <w:semiHidden/>
    <w:rsid w:val="00D60575"/>
    <w:rPr>
      <w:rFonts w:ascii="Tahoma" w:hAnsi="Tahoma" w:cs="Tahoma"/>
      <w:sz w:val="16"/>
      <w:szCs w:val="16"/>
    </w:rPr>
  </w:style>
  <w:style w:type="character" w:styleId="Hyperlink">
    <w:name w:val="Hyperlink"/>
    <w:basedOn w:val="DefaultParagraphFont"/>
    <w:semiHidden/>
    <w:rsid w:val="004661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7812</Characters>
  <Application>Microsoft Office Word</Application>
  <DocSecurity>0</DocSecurity>
  <Lines>65</Lines>
  <Paragraphs>18</Paragraphs>
  <ScaleCrop>false</ScaleCrop>
  <Company>LPITS</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