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9D6" w:rsidRDefault="006639D6">
      <w:pPr>
        <w:jc w:val="center"/>
      </w:pPr>
      <w:r>
        <w:t>DISCLAIMER</w:t>
      </w:r>
    </w:p>
    <w:p w:rsidR="006639D6" w:rsidRDefault="006639D6"/>
    <w:p w:rsidR="006639D6" w:rsidRDefault="006639D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639D6" w:rsidRDefault="006639D6"/>
    <w:p w:rsidR="006639D6" w:rsidRDefault="006639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39D6" w:rsidRDefault="006639D6"/>
    <w:p w:rsidR="006639D6" w:rsidRDefault="006639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39D6" w:rsidRDefault="006639D6"/>
    <w:p w:rsidR="006639D6" w:rsidRDefault="006639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39D6" w:rsidRDefault="006639D6"/>
    <w:p w:rsidR="006639D6" w:rsidRDefault="006639D6">
      <w:pPr>
        <w:rPr>
          <w:rFonts w:cs="Times New Roman"/>
        </w:rPr>
      </w:pPr>
      <w:r>
        <w:rPr>
          <w:rFonts w:cs="Times New Roman"/>
        </w:rPr>
        <w:br w:type="page"/>
      </w:r>
    </w:p>
    <w:p w:rsid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BB0">
        <w:rPr>
          <w:rFonts w:cs="Times New Roman"/>
        </w:rPr>
        <w:t>CHAPTER 47.</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BB0">
        <w:rPr>
          <w:rFonts w:cs="Times New Roman"/>
        </w:rPr>
        <w:t xml:space="preserve"> MANUFACTURED HOME PARK TENANCY ACT</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60ABC" w:rsidRPr="00E40BB0">
        <w:rPr>
          <w:rFonts w:cs="Times New Roman"/>
        </w:rPr>
        <w:t>1.</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0B1B"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BB0">
        <w:rPr>
          <w:rFonts w:cs="Times New Roman"/>
        </w:rPr>
        <w:t xml:space="preserve"> GENERAL PROVISIONS AND DEFINITIONS</w:t>
      </w:r>
    </w:p>
    <w:p w:rsidR="00B40B1B" w:rsidRDefault="00B40B1B"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BB0" w:rsidRDefault="00B40B1B"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160ABC" w:rsidRPr="00E40BB0">
        <w:rPr>
          <w:rFonts w:cs="Times New Roman"/>
        </w:rPr>
        <w:t xml:space="preserve"> I.</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BB0">
        <w:rPr>
          <w:rFonts w:cs="Times New Roman"/>
        </w:rPr>
        <w:t xml:space="preserve"> SHORT TITLE, CONSTRUCTION, AND PURPOSE</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10.</w:t>
      </w:r>
      <w:r w:rsidR="00160ABC" w:rsidRPr="00E40BB0">
        <w:rPr>
          <w:rFonts w:cs="Times New Roman"/>
        </w:rPr>
        <w:t xml:space="preserve"> Short title.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This chapter is known as the South Carolina Manufactured Home Park Tenancy Act.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20.</w:t>
      </w:r>
      <w:r w:rsidR="00160ABC" w:rsidRPr="00E40BB0">
        <w:rPr>
          <w:rFonts w:cs="Times New Roman"/>
        </w:rPr>
        <w:t xml:space="preserve"> Purposes and policies of chapter;  liberal construction.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(A) This chapter must be construed liberally and applied to promote its underlying purposes and policies.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(B) The underlying purposes and policies of this chapter are to: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(1) provide for the rights and obligations of manufactured home owners and manufactured home park owners and clarify the law governing the renting or leasing of residential lots in a manufactured home park in which five or more lots are offered for rent or lease; </w:t>
      </w: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(2) encourage manufactured home park owners and manufactured home owners to maintain and improve the quality of housing.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B40B1B"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160ABC" w:rsidRPr="00E40BB0">
        <w:rPr>
          <w:rFonts w:cs="Times New Roman"/>
        </w:rPr>
        <w:t xml:space="preserve"> II.</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BB0">
        <w:rPr>
          <w:rFonts w:cs="Times New Roman"/>
        </w:rPr>
        <w:t xml:space="preserve"> SCOPE AND JURISDICTION</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110.</w:t>
      </w:r>
      <w:r w:rsidR="00160ABC" w:rsidRPr="00E40BB0">
        <w:rPr>
          <w:rFonts w:cs="Times New Roman"/>
        </w:rPr>
        <w:t xml:space="preserve"> Applicability of this chapter and Chapter 40 of Title 27.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This chapter applies to, regulates, and determines the rights, obligations, and remedies under a rental agreement for a residential manufactured home park lot located within this State.  The provisions of the </w:t>
      </w:r>
      <w:r w:rsidRPr="00E40BB0">
        <w:rPr>
          <w:rFonts w:cs="Times New Roman"/>
        </w:rPr>
        <w:lastRenderedPageBreak/>
        <w:t xml:space="preserve">Residential Landlord and Tenant Act in Chapter 40 of Title 27 shall apply to tenancies in manufactured home parks if such application is not inconsistent with or contrary to the provisions of this chapter.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120.</w:t>
      </w:r>
      <w:r w:rsidR="00160ABC" w:rsidRPr="00E40BB0">
        <w:rPr>
          <w:rFonts w:cs="Times New Roman"/>
        </w:rPr>
        <w:t xml:space="preserve"> Tenancies not governed by chapter.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The following tenancies are not governed by this chapter: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(1) in which both a manufactured home and a manufactured home lot are rented or leased by the resident;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(2) in which a rental space is offered for occupancy by a vehicle which primarily is designed as temporary living quarters for recreational camping or travel use and which either has its own motor power or is mounted on or drawn by another vehicle; </w:t>
      </w: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(3) at a manufactured home park in which fewer than five lots are offered for rent or lease.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130.</w:t>
      </w:r>
      <w:r w:rsidR="00160ABC" w:rsidRPr="00E40BB0">
        <w:rPr>
          <w:rFonts w:cs="Times New Roman"/>
        </w:rPr>
        <w:t xml:space="preserve"> Determination of jurisdiction and service of process.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Jurisdiction and service of process must be determined pursuant to Section 27</w:t>
      </w:r>
      <w:r w:rsidR="00E40BB0" w:rsidRPr="00E40BB0">
        <w:rPr>
          <w:rFonts w:cs="Times New Roman"/>
        </w:rPr>
        <w:noBreakHyphen/>
      </w:r>
      <w:r w:rsidRPr="00E40BB0">
        <w:rPr>
          <w:rFonts w:cs="Times New Roman"/>
        </w:rPr>
        <w:t>40</w:t>
      </w:r>
      <w:r w:rsidR="00E40BB0" w:rsidRPr="00E40BB0">
        <w:rPr>
          <w:rFonts w:cs="Times New Roman"/>
        </w:rPr>
        <w:noBreakHyphen/>
      </w:r>
      <w:r w:rsidRPr="00E40BB0">
        <w:rPr>
          <w:rFonts w:cs="Times New Roman"/>
        </w:rPr>
        <w:t xml:space="preserve">130 with respect to a claim arising from a transaction to which this chapter applies.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B40B1B"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160ABC" w:rsidRPr="00E40BB0">
        <w:rPr>
          <w:rFonts w:cs="Times New Roman"/>
        </w:rPr>
        <w:t xml:space="preserve"> III.</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BB0">
        <w:rPr>
          <w:rFonts w:cs="Times New Roman"/>
        </w:rPr>
        <w:t xml:space="preserve"> GENERAL DEFINITIONS AND INTERPRETATION OF PRINCIPLES;  NOTICE</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210.</w:t>
      </w:r>
      <w:r w:rsidR="00160ABC" w:rsidRPr="00E40BB0">
        <w:rPr>
          <w:rFonts w:cs="Times New Roman"/>
        </w:rPr>
        <w:t xml:space="preserve"> Definitions.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Subject to additional definitions contained in other provisions of law which apply to this chapter and unless the context otherwise requires: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(1) </w:t>
      </w:r>
      <w:r w:rsidR="00E40BB0" w:rsidRPr="00E40BB0">
        <w:rPr>
          <w:rFonts w:cs="Times New Roman"/>
        </w:rPr>
        <w:t>“</w:t>
      </w:r>
      <w:r w:rsidRPr="00E40BB0">
        <w:rPr>
          <w:rFonts w:cs="Times New Roman"/>
        </w:rPr>
        <w:t>Manufactured home</w:t>
      </w:r>
      <w:r w:rsidR="00E40BB0" w:rsidRPr="00E40BB0">
        <w:rPr>
          <w:rFonts w:cs="Times New Roman"/>
        </w:rPr>
        <w:t>”</w:t>
      </w:r>
      <w:r w:rsidRPr="00E40BB0">
        <w:rPr>
          <w:rFonts w:cs="Times New Roman"/>
        </w:rPr>
        <w:t xml:space="preserve"> means a structure transportable in one or more sections which in the traveling mode is eight body feet or more in width or forty body feet or more in length or when erected on site is </w:t>
      </w:r>
      <w:r w:rsidRPr="00E40BB0">
        <w:rPr>
          <w:rFonts w:cs="Times New Roman"/>
        </w:rPr>
        <w:lastRenderedPageBreak/>
        <w:t xml:space="preserve">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(2) </w:t>
      </w:r>
      <w:r w:rsidR="00E40BB0" w:rsidRPr="00E40BB0">
        <w:rPr>
          <w:rFonts w:cs="Times New Roman"/>
        </w:rPr>
        <w:t>“</w:t>
      </w:r>
      <w:r w:rsidRPr="00E40BB0">
        <w:rPr>
          <w:rFonts w:cs="Times New Roman"/>
        </w:rPr>
        <w:t>Manufactured home owner</w:t>
      </w:r>
      <w:r w:rsidR="00E40BB0" w:rsidRPr="00E40BB0">
        <w:rPr>
          <w:rFonts w:cs="Times New Roman"/>
        </w:rPr>
        <w:t>”</w:t>
      </w:r>
      <w:r w:rsidRPr="00E40BB0">
        <w:rPr>
          <w:rFonts w:cs="Times New Roman"/>
        </w:rPr>
        <w:t xml:space="preserve"> or </w:t>
      </w:r>
      <w:r w:rsidR="00E40BB0" w:rsidRPr="00E40BB0">
        <w:rPr>
          <w:rFonts w:cs="Times New Roman"/>
        </w:rPr>
        <w:t>“</w:t>
      </w:r>
      <w:r w:rsidRPr="00E40BB0">
        <w:rPr>
          <w:rFonts w:cs="Times New Roman"/>
        </w:rPr>
        <w:t>resident</w:t>
      </w:r>
      <w:r w:rsidR="00E40BB0" w:rsidRPr="00E40BB0">
        <w:rPr>
          <w:rFonts w:cs="Times New Roman"/>
        </w:rPr>
        <w:t>”</w:t>
      </w:r>
      <w:r w:rsidRPr="00E40BB0">
        <w:rPr>
          <w:rFonts w:cs="Times New Roman"/>
        </w:rPr>
        <w:t xml:space="preserve"> means a person who owns a manufactured home and rents or leases a lot within a manufactured home park for residential use.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(3) </w:t>
      </w:r>
      <w:r w:rsidR="00E40BB0" w:rsidRPr="00E40BB0">
        <w:rPr>
          <w:rFonts w:cs="Times New Roman"/>
        </w:rPr>
        <w:t>“</w:t>
      </w:r>
      <w:r w:rsidRPr="00E40BB0">
        <w:rPr>
          <w:rFonts w:cs="Times New Roman"/>
        </w:rPr>
        <w:t>Manufactured home park</w:t>
      </w:r>
      <w:r w:rsidR="00E40BB0" w:rsidRPr="00E40BB0">
        <w:rPr>
          <w:rFonts w:cs="Times New Roman"/>
        </w:rPr>
        <w:t>”</w:t>
      </w:r>
      <w:r w:rsidRPr="00E40BB0">
        <w:rPr>
          <w:rFonts w:cs="Times New Roman"/>
        </w:rPr>
        <w:t xml:space="preserve"> means a use of land in which lots or spaces are offered for rent or lease for the placement of manufactured homes and in which the primary use of the park is residential.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(4) </w:t>
      </w:r>
      <w:r w:rsidR="00E40BB0" w:rsidRPr="00E40BB0">
        <w:rPr>
          <w:rFonts w:cs="Times New Roman"/>
        </w:rPr>
        <w:t>“</w:t>
      </w:r>
      <w:r w:rsidRPr="00E40BB0">
        <w:rPr>
          <w:rFonts w:cs="Times New Roman"/>
        </w:rPr>
        <w:t>Manufactured home park owner</w:t>
      </w:r>
      <w:r w:rsidR="00E40BB0" w:rsidRPr="00E40BB0">
        <w:rPr>
          <w:rFonts w:cs="Times New Roman"/>
        </w:rPr>
        <w:t>”</w:t>
      </w:r>
      <w:r w:rsidRPr="00E40BB0">
        <w:rPr>
          <w:rFonts w:cs="Times New Roman"/>
        </w:rPr>
        <w:t xml:space="preserve"> or </w:t>
      </w:r>
      <w:r w:rsidR="00E40BB0" w:rsidRPr="00E40BB0">
        <w:rPr>
          <w:rFonts w:cs="Times New Roman"/>
        </w:rPr>
        <w:t>“</w:t>
      </w:r>
      <w:r w:rsidRPr="00E40BB0">
        <w:rPr>
          <w:rFonts w:cs="Times New Roman"/>
        </w:rPr>
        <w:t>owner</w:t>
      </w:r>
      <w:r w:rsidR="00E40BB0" w:rsidRPr="00E40BB0">
        <w:rPr>
          <w:rFonts w:cs="Times New Roman"/>
        </w:rPr>
        <w:t>”</w:t>
      </w:r>
      <w:r w:rsidRPr="00E40BB0">
        <w:rPr>
          <w:rFonts w:cs="Times New Roman"/>
        </w:rPr>
        <w:t xml:space="preserve"> means an owner or operator of a manufactured home park.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(5) </w:t>
      </w:r>
      <w:r w:rsidR="00E40BB0" w:rsidRPr="00E40BB0">
        <w:rPr>
          <w:rFonts w:cs="Times New Roman"/>
        </w:rPr>
        <w:t>“</w:t>
      </w:r>
      <w:r w:rsidRPr="00E40BB0">
        <w:rPr>
          <w:rFonts w:cs="Times New Roman"/>
        </w:rPr>
        <w:t>Rental agreement</w:t>
      </w:r>
      <w:r w:rsidR="00E40BB0" w:rsidRPr="00E40BB0">
        <w:rPr>
          <w:rFonts w:cs="Times New Roman"/>
        </w:rPr>
        <w:t>”</w:t>
      </w:r>
      <w:r w:rsidRPr="00E40BB0">
        <w:rPr>
          <w:rFonts w:cs="Times New Roman"/>
        </w:rPr>
        <w:t xml:space="preserve"> means a written mutual understanding or lease between a resident and an owner in which the resident may place his manufactured home on a lot for direct or indirect remuneration of the owner.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(6) </w:t>
      </w:r>
      <w:r w:rsidR="00E40BB0" w:rsidRPr="00E40BB0">
        <w:rPr>
          <w:rFonts w:cs="Times New Roman"/>
        </w:rPr>
        <w:t>“</w:t>
      </w:r>
      <w:r w:rsidRPr="00E40BB0">
        <w:rPr>
          <w:rFonts w:cs="Times New Roman"/>
        </w:rPr>
        <w:t>Tenancy</w:t>
      </w:r>
      <w:r w:rsidR="00E40BB0" w:rsidRPr="00E40BB0">
        <w:rPr>
          <w:rFonts w:cs="Times New Roman"/>
        </w:rPr>
        <w:t>”</w:t>
      </w:r>
      <w:r w:rsidRPr="00E40BB0">
        <w:rPr>
          <w:rFonts w:cs="Times New Roman"/>
        </w:rPr>
        <w:t xml:space="preserve"> means the temporary possession or occupancy of a manufactured home park lot by a resident pursuant to a rental agreement. </w:t>
      </w: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(7) </w:t>
      </w:r>
      <w:r w:rsidR="00E40BB0" w:rsidRPr="00E40BB0">
        <w:rPr>
          <w:rFonts w:cs="Times New Roman"/>
        </w:rPr>
        <w:t>“</w:t>
      </w:r>
      <w:r w:rsidRPr="00E40BB0">
        <w:rPr>
          <w:rFonts w:cs="Times New Roman"/>
        </w:rPr>
        <w:t>User fees</w:t>
      </w:r>
      <w:r w:rsidR="00E40BB0" w:rsidRPr="00E40BB0">
        <w:rPr>
          <w:rFonts w:cs="Times New Roman"/>
        </w:rPr>
        <w:t>”</w:t>
      </w:r>
      <w:r w:rsidRPr="00E40BB0">
        <w:rPr>
          <w:rFonts w:cs="Times New Roman"/>
        </w:rPr>
        <w:t xml:space="preserve"> means the amounts charged in addition to the lot rental amount for nonessential optional services provided by or through the owner to the resident under a separate written agreement between the resident and the person furnishing the service.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220.</w:t>
      </w:r>
      <w:r w:rsidR="00160ABC" w:rsidRPr="00E40BB0">
        <w:rPr>
          <w:rFonts w:cs="Times New Roman"/>
        </w:rPr>
        <w:t xml:space="preserve"> Good faith requirement as to every duty and act specified in chapter.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Every duty under this chapter and every act which must be performed as a condition precedent to the exercise of a right or remedy under this chapter imposes an obligation of good faith in its performances or enforcement.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230.</w:t>
      </w:r>
      <w:r w:rsidR="00160ABC" w:rsidRPr="00E40BB0">
        <w:rPr>
          <w:rFonts w:cs="Times New Roman"/>
        </w:rPr>
        <w:t xml:space="preserve"> Determining unconscionability.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Unconscionability must be determined according to Section 27</w:t>
      </w:r>
      <w:r w:rsidR="00E40BB0" w:rsidRPr="00E40BB0">
        <w:rPr>
          <w:rFonts w:cs="Times New Roman"/>
        </w:rPr>
        <w:noBreakHyphen/>
      </w:r>
      <w:r w:rsidRPr="00E40BB0">
        <w:rPr>
          <w:rFonts w:cs="Times New Roman"/>
        </w:rPr>
        <w:t>40</w:t>
      </w:r>
      <w:r w:rsidR="00E40BB0" w:rsidRPr="00E40BB0">
        <w:rPr>
          <w:rFonts w:cs="Times New Roman"/>
        </w:rPr>
        <w:noBreakHyphen/>
      </w:r>
      <w:r w:rsidRPr="00E40BB0">
        <w:rPr>
          <w:rFonts w:cs="Times New Roman"/>
        </w:rPr>
        <w:t xml:space="preserve">230.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240.</w:t>
      </w:r>
      <w:r w:rsidR="00160ABC" w:rsidRPr="00E40BB0">
        <w:rPr>
          <w:rFonts w:cs="Times New Roman"/>
        </w:rPr>
        <w:t xml:space="preserve"> Notice.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Notice must be given pursuant to Section 27</w:t>
      </w:r>
      <w:r w:rsidR="00E40BB0" w:rsidRPr="00E40BB0">
        <w:rPr>
          <w:rFonts w:cs="Times New Roman"/>
        </w:rPr>
        <w:noBreakHyphen/>
      </w:r>
      <w:r w:rsidRPr="00E40BB0">
        <w:rPr>
          <w:rFonts w:cs="Times New Roman"/>
        </w:rPr>
        <w:t>40</w:t>
      </w:r>
      <w:r w:rsidR="00E40BB0" w:rsidRPr="00E40BB0">
        <w:rPr>
          <w:rFonts w:cs="Times New Roman"/>
        </w:rPr>
        <w:noBreakHyphen/>
      </w:r>
      <w:r w:rsidRPr="00E40BB0">
        <w:rPr>
          <w:rFonts w:cs="Times New Roman"/>
        </w:rPr>
        <w:t xml:space="preserve">240.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B40B1B"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160ABC" w:rsidRPr="00E40BB0">
        <w:rPr>
          <w:rFonts w:cs="Times New Roman"/>
        </w:rPr>
        <w:t xml:space="preserve"> IV.</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BB0">
        <w:rPr>
          <w:rFonts w:cs="Times New Roman"/>
        </w:rPr>
        <w:t xml:space="preserve"> GENERAL PROVISIONS</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310.</w:t>
      </w:r>
      <w:r w:rsidR="00160ABC" w:rsidRPr="00E40BB0">
        <w:rPr>
          <w:rFonts w:cs="Times New Roman"/>
        </w:rPr>
        <w:t xml:space="preserve"> Written rental agreement required;  items which must be provided for;  restriction on user fee.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(A) An owner who offers for lease a space in a manufactured home park shall provide to the resident an agreement in writing containing the terms by which the space is leased.  The written agreement must comply with this section.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(B) The duration of the lease must be stated in the agreement and may be of a length agreed upon by the owner and resident.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(C) If the agreement provides an option for renewal, the amount of rent to be paid for tenancy during the option must be stated in the agreement.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(D) The rental agreement must specify: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(1) location and approximate size of the lot leased pursuant to the agreement;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(2) monthly rental rate;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(3) date payment is due;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(4) place of payment;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(5) personal property, services, and facilities provided by the owner;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(6) regulations governing residency which, if violated, may be cause for eviction;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(7) statement of amounts to be paid by the resident including, but not limited to, security deposits, service fees, and installation charges;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(8) improvements, if any, which the resident may make to the rental lot including landscaping;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(9) improvements, if any, required to be made by the resident;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(10) restrictions, if any, regarding pets, children, number of occupants, and vehicle storage;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(11) notice required to exercise option for renewal or to terminate tenancy. </w:t>
      </w: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(E) During the rental agreement a user fee must not be charged by the owner to the resident for a service or amenity which previously was provided and included in the lot rental amount unless there is a corresponding decrease in the amount within the terms of the contract.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60ABC" w:rsidRPr="00E40BB0">
        <w:rPr>
          <w:rFonts w:cs="Times New Roman"/>
        </w:rPr>
        <w:t>3.</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BB0">
        <w:rPr>
          <w:rFonts w:cs="Times New Roman"/>
        </w:rPr>
        <w:t xml:space="preserve"> MANUFACTURED HOME PARK OWNER</w:t>
      </w:r>
      <w:r w:rsidR="00E40BB0" w:rsidRPr="00E40BB0">
        <w:rPr>
          <w:rFonts w:cs="Times New Roman"/>
        </w:rPr>
        <w:t>’</w:t>
      </w:r>
      <w:r w:rsidRPr="00E40BB0">
        <w:rPr>
          <w:rFonts w:cs="Times New Roman"/>
        </w:rPr>
        <w:t>S OBLIGATIONS</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410.</w:t>
      </w:r>
      <w:r w:rsidR="00160ABC" w:rsidRPr="00E40BB0">
        <w:rPr>
          <w:rFonts w:cs="Times New Roman"/>
        </w:rPr>
        <w:t xml:space="preserve"> Name and address of owner for purposes of service of process and receiving or receipting notices and demands;  agent of owner for this and other purposes.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(B) A person authorized to enter into a rental agreement on behalf of an owner who fails to comply with this section with regard to a rental agreement entered into on behalf of the owner becomes his agent for purposes of that rental agreement for: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(1) service of process and receiving and receipting notices and demands; </w:t>
      </w: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(2) performing the obligations of the owner under this chapter and under the rental agreement and expending or making available for the performance of the obligations rent collected from the resident and retained by the person on behalf of the owner.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420.</w:t>
      </w:r>
      <w:r w:rsidR="00160ABC" w:rsidRPr="00E40BB0">
        <w:rPr>
          <w:rFonts w:cs="Times New Roman"/>
        </w:rPr>
        <w:t xml:space="preserve"> Notice to resident of new rental rate where tenancy continues beyond original term.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When a tenancy is to continue beyond the original term a resident must be given notice by the owner at least thirty days in advance of the effective date of a new rental rate.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430.</w:t>
      </w:r>
      <w:r w:rsidR="00160ABC" w:rsidRPr="00E40BB0">
        <w:rPr>
          <w:rFonts w:cs="Times New Roman"/>
        </w:rPr>
        <w:t xml:space="preserve"> Aesthetic standards;  change in standards;  notice;  burden to show home unsafe, unsanitary, or not in compliance with aesthetic standards.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The owner has the burden of proving a manufactured home located in the park is unsafe or unsanitary or fails to meet the park</w:t>
      </w:r>
      <w:r w:rsidR="00E40BB0" w:rsidRPr="00E40BB0">
        <w:rPr>
          <w:rFonts w:cs="Times New Roman"/>
        </w:rPr>
        <w:t>’</w:t>
      </w:r>
      <w:r w:rsidRPr="00E40BB0">
        <w:rPr>
          <w:rFonts w:cs="Times New Roman"/>
        </w:rPr>
        <w:t>s aesthetic standards.  A resident must not be forced to make an aesthetic change to his home</w:t>
      </w:r>
      <w:r w:rsidR="00E40BB0" w:rsidRPr="00E40BB0">
        <w:rPr>
          <w:rFonts w:cs="Times New Roman"/>
        </w:rPr>
        <w:t>’</w:t>
      </w:r>
      <w:r w:rsidRPr="00E40BB0">
        <w:rPr>
          <w:rFonts w:cs="Times New Roman"/>
        </w:rPr>
        <w:t xml:space="preserve">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440.</w:t>
      </w:r>
      <w:r w:rsidR="00160ABC" w:rsidRPr="00E40BB0">
        <w:rPr>
          <w:rFonts w:cs="Times New Roman"/>
        </w:rPr>
        <w:t xml:space="preserve"> Approval or disapproval of manufactured home purchaser to become resident of park.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(A) The purchaser of a manufactured home may not become a resident of a manufactured home park without the approval of the owner.  Approval by the owner must not be withheld unreasonably.  The purchaser has the burden of proof as to whether approval or disapproval is unreasonable. </w:t>
      </w: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(B) The owner has fifteen days after receiving the purchaser</w:t>
      </w:r>
      <w:r w:rsidR="00E40BB0" w:rsidRPr="00E40BB0">
        <w:rPr>
          <w:rFonts w:cs="Times New Roman"/>
        </w:rPr>
        <w:t>’</w:t>
      </w:r>
      <w:r w:rsidRPr="00E40BB0">
        <w:rPr>
          <w:rFonts w:cs="Times New Roman"/>
        </w:rPr>
        <w:t xml:space="preserve">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450.</w:t>
      </w:r>
      <w:r w:rsidR="00160ABC" w:rsidRPr="00E40BB0">
        <w:rPr>
          <w:rFonts w:cs="Times New Roman"/>
        </w:rPr>
        <w:t xml:space="preserve"> Access to common areas;  utility connections and systems.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An owner shall provide access to the common areas of the park at reasonable times for the benefit of residents and their guests and maintain in proper working condition the utility connections and systems.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460.</w:t>
      </w:r>
      <w:r w:rsidR="00160ABC" w:rsidRPr="00E40BB0">
        <w:rPr>
          <w:rFonts w:cs="Times New Roman"/>
        </w:rPr>
        <w:t xml:space="preserve"> Duty to maintain safe premises;  owner not guarantor of safety.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An owner is not the guarantor of the safety of residents or invitees but shall exercise due care to keep the portion of the premises under the owner</w:t>
      </w:r>
      <w:r w:rsidR="00E40BB0" w:rsidRPr="00E40BB0">
        <w:rPr>
          <w:rFonts w:cs="Times New Roman"/>
        </w:rPr>
        <w:t>’</w:t>
      </w:r>
      <w:r w:rsidRPr="00E40BB0">
        <w:rPr>
          <w:rFonts w:cs="Times New Roman"/>
        </w:rPr>
        <w:t xml:space="preserve">s control in a reasonably safe condition.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470.</w:t>
      </w:r>
      <w:r w:rsidR="00160ABC" w:rsidRPr="00E40BB0">
        <w:rPr>
          <w:rFonts w:cs="Times New Roman"/>
        </w:rPr>
        <w:t xml:space="preserve"> Duty to maintain cleanliness and appearance of common areas.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An owner shall take reasonable steps to maintain the cleanliness and appearance of the common areas of the park.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60ABC" w:rsidRPr="00E40BB0">
        <w:rPr>
          <w:rFonts w:cs="Times New Roman"/>
        </w:rPr>
        <w:t>5.</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BB0">
        <w:rPr>
          <w:rFonts w:cs="Times New Roman"/>
        </w:rPr>
        <w:t xml:space="preserve"> RESIDENT</w:t>
      </w:r>
      <w:r w:rsidR="00E40BB0" w:rsidRPr="00E40BB0">
        <w:rPr>
          <w:rFonts w:cs="Times New Roman"/>
        </w:rPr>
        <w:t>’</w:t>
      </w:r>
      <w:r w:rsidRPr="00E40BB0">
        <w:rPr>
          <w:rFonts w:cs="Times New Roman"/>
        </w:rPr>
        <w:t>S OBLIGATIONS</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510.</w:t>
      </w:r>
      <w:r w:rsidR="00160ABC" w:rsidRPr="00E40BB0">
        <w:rPr>
          <w:rFonts w:cs="Times New Roman"/>
        </w:rPr>
        <w:t xml:space="preserve"> Codes;  rent;  notices;  rental agreement and regulations;  responsibility for guests.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A resident shall: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(1) comply with the obligations of applicable provisions of the building, housing, and health codes;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(2) keep his manufactured home lot clean;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(3) comply with regulations and the rental agreement and require other persons in the park with his consent to comply and conduct themselves in a manner that does not disturb other residents unreasonably or violate the rental agreement;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(4) keep his rent current; </w:t>
      </w: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(5) give written notice to the owner whether he desires to continue the tenancy beyond the original term within thirty days of receiving notice of a new rental rate under Section 27</w:t>
      </w:r>
      <w:r w:rsidR="00E40BB0" w:rsidRPr="00E40BB0">
        <w:rPr>
          <w:rFonts w:cs="Times New Roman"/>
        </w:rPr>
        <w:noBreakHyphen/>
      </w:r>
      <w:r w:rsidRPr="00E40BB0">
        <w:rPr>
          <w:rFonts w:cs="Times New Roman"/>
        </w:rPr>
        <w:t>47</w:t>
      </w:r>
      <w:r w:rsidR="00E40BB0" w:rsidRPr="00E40BB0">
        <w:rPr>
          <w:rFonts w:cs="Times New Roman"/>
        </w:rPr>
        <w:noBreakHyphen/>
      </w:r>
      <w:r w:rsidRPr="00E40BB0">
        <w:rPr>
          <w:rFonts w:cs="Times New Roman"/>
        </w:rPr>
        <w:t xml:space="preserve">420.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520.</w:t>
      </w:r>
      <w:r w:rsidR="00160ABC" w:rsidRPr="00E40BB0">
        <w:rPr>
          <w:rFonts w:cs="Times New Roman"/>
        </w:rPr>
        <w:t xml:space="preserve"> Security deposit.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Upon termination of a tenancy, monies held by the owner as a security deposit or prepaid rent must be returned less amounts withheld by the owner for accrued rent or damages the owner has suffered by reason of the resident</w:t>
      </w:r>
      <w:r w:rsidR="00E40BB0" w:rsidRPr="00E40BB0">
        <w:rPr>
          <w:rFonts w:cs="Times New Roman"/>
        </w:rPr>
        <w:t>’</w:t>
      </w:r>
      <w:r w:rsidRPr="00E40BB0">
        <w:rPr>
          <w:rFonts w:cs="Times New Roman"/>
        </w:rPr>
        <w:t>s noncompliance with Section 27</w:t>
      </w:r>
      <w:r w:rsidR="00E40BB0" w:rsidRPr="00E40BB0">
        <w:rPr>
          <w:rFonts w:cs="Times New Roman"/>
        </w:rPr>
        <w:noBreakHyphen/>
      </w:r>
      <w:r w:rsidRPr="00E40BB0">
        <w:rPr>
          <w:rFonts w:cs="Times New Roman"/>
        </w:rPr>
        <w:t>47</w:t>
      </w:r>
      <w:r w:rsidR="00E40BB0" w:rsidRPr="00E40BB0">
        <w:rPr>
          <w:rFonts w:cs="Times New Roman"/>
        </w:rPr>
        <w:noBreakHyphen/>
      </w:r>
      <w:r w:rsidRPr="00E40BB0">
        <w:rPr>
          <w:rFonts w:cs="Times New Roman"/>
        </w:rPr>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w:t>
      </w:r>
      <w:r w:rsidR="00E40BB0" w:rsidRPr="00E40BB0">
        <w:rPr>
          <w:rFonts w:cs="Times New Roman"/>
        </w:rPr>
        <w:t>’</w:t>
      </w:r>
      <w:r w:rsidRPr="00E40BB0">
        <w:rPr>
          <w:rFonts w:cs="Times New Roman"/>
        </w:rPr>
        <w:t>s address and mails the notice to the resident</w:t>
      </w:r>
      <w:r w:rsidR="00E40BB0" w:rsidRPr="00E40BB0">
        <w:rPr>
          <w:rFonts w:cs="Times New Roman"/>
        </w:rPr>
        <w:t>’</w:t>
      </w:r>
      <w:r w:rsidRPr="00E40BB0">
        <w:rPr>
          <w:rFonts w:cs="Times New Roman"/>
        </w:rPr>
        <w:t>s last known address.  If the owner does not return monies due the resident, he may recover an amount equal to three times the amount wrongfully withheld and reasonable attorney</w:t>
      </w:r>
      <w:r w:rsidR="00E40BB0" w:rsidRPr="00E40BB0">
        <w:rPr>
          <w:rFonts w:cs="Times New Roman"/>
        </w:rPr>
        <w:t>’</w:t>
      </w:r>
      <w:r w:rsidRPr="00E40BB0">
        <w:rPr>
          <w:rFonts w:cs="Times New Roman"/>
        </w:rPr>
        <w:t xml:space="preserve">s fees.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530.</w:t>
      </w:r>
      <w:r w:rsidR="00160ABC" w:rsidRPr="00E40BB0">
        <w:rPr>
          <w:rFonts w:cs="Times New Roman"/>
        </w:rPr>
        <w:t xml:space="preserve"> Grounds for eviction;  notice of eviction;  sale of manufactured home left on lot following eviction.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(A) An owner may evict a resident for one or more of the following reasons: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(1) failure to comply with local, state, or federal laws governing manufactured homes after he receives written notice of noncompliance and has had a reasonable opportunity to remedy the violation;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(2) engaging in repeated conduct that interferes with the quiet enjoyment of the park by other residents;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(4) not paying rent within five days of its due date;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(5) noncompliance with a law or a provision in the rental agreement or park regulations affecting the health, safety, or welfare of other residents in the park or affecting the physical condition of the park;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(6) wilfully and knowingly making a false or misleading statement in the rental agreement or application;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(7) taking of the park or the part of it affecting the resident</w:t>
      </w:r>
      <w:r w:rsidR="00E40BB0" w:rsidRPr="00E40BB0">
        <w:rPr>
          <w:rFonts w:cs="Times New Roman"/>
        </w:rPr>
        <w:t>’</w:t>
      </w:r>
      <w:r w:rsidRPr="00E40BB0">
        <w:rPr>
          <w:rFonts w:cs="Times New Roman"/>
        </w:rPr>
        <w:t xml:space="preserve">s lot by eminent domain;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(8) other reason sufficient under common law. </w:t>
      </w:r>
    </w:p>
    <w:p w:rsidR="00160ABC"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(B) Notwithstanding Section 27</w:t>
      </w:r>
      <w:r w:rsidR="00E40BB0" w:rsidRPr="00E40BB0">
        <w:rPr>
          <w:rFonts w:cs="Times New Roman"/>
        </w:rPr>
        <w:noBreakHyphen/>
      </w:r>
      <w:r w:rsidRPr="00E40BB0">
        <w:rPr>
          <w:rFonts w:cs="Times New Roman"/>
        </w:rPr>
        <w:t>37</w:t>
      </w:r>
      <w:r w:rsidR="00E40BB0" w:rsidRPr="00E40BB0">
        <w:rPr>
          <w:rFonts w:cs="Times New Roman"/>
        </w:rPr>
        <w:noBreakHyphen/>
      </w:r>
      <w:r w:rsidRPr="00E40BB0">
        <w:rPr>
          <w:rFonts w:cs="Times New Roman"/>
        </w:rPr>
        <w:t xml:space="preserve">100, a writ of ejectment may not issue until ten days after a verdict for the plaintiff except for eviction pursuant to subsection (A)(5). </w:t>
      </w: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(C) If a manufactured home remains on the lot twenty days after the resident has been evicted, the procedure in Section 29</w:t>
      </w:r>
      <w:r w:rsidR="00E40BB0" w:rsidRPr="00E40BB0">
        <w:rPr>
          <w:rFonts w:cs="Times New Roman"/>
        </w:rPr>
        <w:noBreakHyphen/>
      </w:r>
      <w:r w:rsidRPr="00E40BB0">
        <w:rPr>
          <w:rFonts w:cs="Times New Roman"/>
        </w:rPr>
        <w:t>15</w:t>
      </w:r>
      <w:r w:rsidR="00E40BB0" w:rsidRPr="00E40BB0">
        <w:rPr>
          <w:rFonts w:cs="Times New Roman"/>
        </w:rPr>
        <w:noBreakHyphen/>
      </w:r>
      <w:r w:rsidRPr="00E40BB0">
        <w:rPr>
          <w:rFonts w:cs="Times New Roman"/>
        </w:rPr>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E40BB0" w:rsidRPr="00E40BB0">
        <w:rPr>
          <w:rFonts w:cs="Times New Roman"/>
        </w:rPr>
        <w:noBreakHyphen/>
      </w:r>
      <w:r w:rsidRPr="00E40BB0">
        <w:rPr>
          <w:rFonts w:cs="Times New Roman"/>
        </w:rPr>
        <w:t>15</w:t>
      </w:r>
      <w:r w:rsidR="00E40BB0" w:rsidRPr="00E40BB0">
        <w:rPr>
          <w:rFonts w:cs="Times New Roman"/>
        </w:rPr>
        <w:noBreakHyphen/>
      </w:r>
      <w:r w:rsidRPr="00E40BB0">
        <w:rPr>
          <w:rFonts w:cs="Times New Roman"/>
        </w:rPr>
        <w:t xml:space="preserve">10.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60ABC" w:rsidRPr="00E40BB0">
        <w:rPr>
          <w:rFonts w:cs="Times New Roman"/>
        </w:rPr>
        <w:t>7.</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BB0">
        <w:rPr>
          <w:rFonts w:cs="Times New Roman"/>
        </w:rPr>
        <w:t xml:space="preserve"> NOTIFICATION OF SALE OF PARK AND REZONING</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610.</w:t>
      </w:r>
      <w:r w:rsidR="00160ABC" w:rsidRPr="00E40BB0">
        <w:rPr>
          <w:rFonts w:cs="Times New Roman"/>
        </w:rPr>
        <w:t xml:space="preserve"> Notification by new owner of change in ownership.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If a park is sold but continues to operate as a park, the new owner shall notify residents of the change in ownership within thirty days after the date of closing of the sale.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b/>
        </w:rPr>
        <w:t xml:space="preserve">SECTION </w:t>
      </w:r>
      <w:r w:rsidR="00160ABC" w:rsidRPr="00E40BB0">
        <w:rPr>
          <w:rFonts w:cs="Times New Roman"/>
          <w:b/>
        </w:rPr>
        <w:t>27</w:t>
      </w:r>
      <w:r w:rsidRPr="00E40BB0">
        <w:rPr>
          <w:rFonts w:cs="Times New Roman"/>
          <w:b/>
        </w:rPr>
        <w:noBreakHyphen/>
      </w:r>
      <w:r w:rsidR="00160ABC" w:rsidRPr="00E40BB0">
        <w:rPr>
          <w:rFonts w:cs="Times New Roman"/>
          <w:b/>
        </w:rPr>
        <w:t>47</w:t>
      </w:r>
      <w:r w:rsidRPr="00E40BB0">
        <w:rPr>
          <w:rFonts w:cs="Times New Roman"/>
          <w:b/>
        </w:rPr>
        <w:noBreakHyphen/>
      </w:r>
      <w:r w:rsidR="00160ABC" w:rsidRPr="00E40BB0">
        <w:rPr>
          <w:rFonts w:cs="Times New Roman"/>
          <w:b/>
        </w:rPr>
        <w:t>620.</w:t>
      </w:r>
      <w:r w:rsidR="00160ABC" w:rsidRPr="00E40BB0">
        <w:rPr>
          <w:rFonts w:cs="Times New Roman"/>
        </w:rPr>
        <w:t xml:space="preserve"> Notice of proposed rezoning. </w:t>
      </w:r>
    </w:p>
    <w:p w:rsid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BB0" w:rsidRPr="00E40BB0" w:rsidRDefault="00160ABC"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BB0">
        <w:rPr>
          <w:rFonts w:cs="Times New Roman"/>
        </w:rPr>
        <w:t xml:space="preserve">If an owner applies for rezoning of a park, a notice of the proposed rezoning must be posted at the park at least five days before the public hearing on the rezoning. </w:t>
      </w:r>
    </w:p>
    <w:p w:rsidR="00E40BB0" w:rsidRPr="00E40BB0" w:rsidRDefault="00E40BB0"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40BB0" w:rsidRDefault="00184435" w:rsidP="00E40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40BB0" w:rsidSect="00E40B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BB0" w:rsidRDefault="00E40BB0" w:rsidP="00E40BB0">
      <w:r>
        <w:separator/>
      </w:r>
    </w:p>
  </w:endnote>
  <w:endnote w:type="continuationSeparator" w:id="0">
    <w:p w:rsidR="00E40BB0" w:rsidRDefault="00E40BB0" w:rsidP="00E40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B0" w:rsidRPr="00E40BB0" w:rsidRDefault="00E40BB0" w:rsidP="00E40B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B0" w:rsidRPr="00E40BB0" w:rsidRDefault="00E40BB0" w:rsidP="00E40B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B0" w:rsidRPr="00E40BB0" w:rsidRDefault="00E40BB0" w:rsidP="00E40B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BB0" w:rsidRDefault="00E40BB0" w:rsidP="00E40BB0">
      <w:r>
        <w:separator/>
      </w:r>
    </w:p>
  </w:footnote>
  <w:footnote w:type="continuationSeparator" w:id="0">
    <w:p w:rsidR="00E40BB0" w:rsidRDefault="00E40BB0" w:rsidP="00E40B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B0" w:rsidRPr="00E40BB0" w:rsidRDefault="00E40BB0" w:rsidP="00E40B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B0" w:rsidRPr="00E40BB0" w:rsidRDefault="00E40BB0" w:rsidP="00E40B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B0" w:rsidRPr="00E40BB0" w:rsidRDefault="00E40BB0" w:rsidP="00E40B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0ABC"/>
    <w:rsid w:val="00160ABC"/>
    <w:rsid w:val="00184435"/>
    <w:rsid w:val="003C5CC2"/>
    <w:rsid w:val="006639D6"/>
    <w:rsid w:val="00681914"/>
    <w:rsid w:val="00817EA2"/>
    <w:rsid w:val="00A40FB4"/>
    <w:rsid w:val="00A8267C"/>
    <w:rsid w:val="00B40B1B"/>
    <w:rsid w:val="00C43F44"/>
    <w:rsid w:val="00E40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0BB0"/>
    <w:pPr>
      <w:tabs>
        <w:tab w:val="center" w:pos="4680"/>
        <w:tab w:val="right" w:pos="9360"/>
      </w:tabs>
    </w:pPr>
  </w:style>
  <w:style w:type="character" w:customStyle="1" w:styleId="HeaderChar">
    <w:name w:val="Header Char"/>
    <w:basedOn w:val="DefaultParagraphFont"/>
    <w:link w:val="Header"/>
    <w:uiPriority w:val="99"/>
    <w:semiHidden/>
    <w:rsid w:val="00E40BB0"/>
  </w:style>
  <w:style w:type="paragraph" w:styleId="Footer">
    <w:name w:val="footer"/>
    <w:basedOn w:val="Normal"/>
    <w:link w:val="FooterChar"/>
    <w:uiPriority w:val="99"/>
    <w:semiHidden/>
    <w:unhideWhenUsed/>
    <w:rsid w:val="00E40BB0"/>
    <w:pPr>
      <w:tabs>
        <w:tab w:val="center" w:pos="4680"/>
        <w:tab w:val="right" w:pos="9360"/>
      </w:tabs>
    </w:pPr>
  </w:style>
  <w:style w:type="character" w:customStyle="1" w:styleId="FooterChar">
    <w:name w:val="Footer Char"/>
    <w:basedOn w:val="DefaultParagraphFont"/>
    <w:link w:val="Footer"/>
    <w:uiPriority w:val="99"/>
    <w:semiHidden/>
    <w:rsid w:val="00E40BB0"/>
  </w:style>
  <w:style w:type="paragraph" w:styleId="BalloonText">
    <w:name w:val="Balloon Text"/>
    <w:basedOn w:val="Normal"/>
    <w:link w:val="BalloonTextChar"/>
    <w:uiPriority w:val="99"/>
    <w:semiHidden/>
    <w:unhideWhenUsed/>
    <w:rsid w:val="00160ABC"/>
    <w:rPr>
      <w:rFonts w:ascii="Tahoma" w:hAnsi="Tahoma" w:cs="Tahoma"/>
      <w:sz w:val="16"/>
      <w:szCs w:val="16"/>
    </w:rPr>
  </w:style>
  <w:style w:type="character" w:customStyle="1" w:styleId="BalloonTextChar">
    <w:name w:val="Balloon Text Char"/>
    <w:basedOn w:val="DefaultParagraphFont"/>
    <w:link w:val="BalloonText"/>
    <w:uiPriority w:val="99"/>
    <w:semiHidden/>
    <w:rsid w:val="00160ABC"/>
    <w:rPr>
      <w:rFonts w:ascii="Tahoma" w:hAnsi="Tahoma" w:cs="Tahoma"/>
      <w:sz w:val="16"/>
      <w:szCs w:val="16"/>
    </w:rPr>
  </w:style>
  <w:style w:type="character" w:styleId="Hyperlink">
    <w:name w:val="Hyperlink"/>
    <w:basedOn w:val="DefaultParagraphFont"/>
    <w:semiHidden/>
    <w:rsid w:val="006639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2416</Words>
  <Characters>13774</Characters>
  <Application>Microsoft Office Word</Application>
  <DocSecurity>0</DocSecurity>
  <Lines>114</Lines>
  <Paragraphs>32</Paragraphs>
  <ScaleCrop>false</ScaleCrop>
  <Company>LPITS</Company>
  <LinksUpToDate>false</LinksUpToDate>
  <CharactersWithSpaces>16158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2009-12-15T21:37:00Z</dcterms:created>
  <dcterms:modified xsi:type="dcterms:W3CDTF">2009-12-22T18:39:00Z</dcterms:modified>
</cp:coreProperties>
</file>