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57C" w:rsidRDefault="00CC557C">
      <w:pPr>
        <w:jc w:val="center"/>
      </w:pPr>
      <w:r>
        <w:t>DISCLAIMER</w:t>
      </w:r>
    </w:p>
    <w:p w:rsidR="00CC557C" w:rsidRDefault="00CC557C"/>
    <w:p w:rsidR="00CC557C" w:rsidRDefault="00CC55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557C" w:rsidRDefault="00CC557C"/>
    <w:p w:rsidR="00CC557C" w:rsidRDefault="00CC55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557C" w:rsidRDefault="00CC557C"/>
    <w:p w:rsidR="00CC557C" w:rsidRDefault="00CC55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557C" w:rsidRDefault="00CC557C"/>
    <w:p w:rsidR="00CC557C" w:rsidRDefault="00CC55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557C" w:rsidRDefault="00CC557C"/>
    <w:p w:rsidR="00CC557C" w:rsidRDefault="00CC557C">
      <w:pPr>
        <w:rPr>
          <w:rFonts w:cs="Times New Roman"/>
        </w:rPr>
      </w:pPr>
      <w:r>
        <w:rPr>
          <w:rFonts w:cs="Times New Roman"/>
        </w:rPr>
        <w:br w:type="page"/>
      </w:r>
    </w:p>
    <w:p w:rsid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877">
        <w:rPr>
          <w:rFonts w:cs="Times New Roman"/>
        </w:rPr>
        <w:t>CHAPTER 7.</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877">
        <w:rPr>
          <w:rFonts w:cs="Times New Roman"/>
        </w:rPr>
        <w:t xml:space="preserve"> RIGHT TO WORK</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10.</w:t>
      </w:r>
      <w:r w:rsidR="00BC2FDD" w:rsidRPr="007E7877">
        <w:rPr>
          <w:rFonts w:cs="Times New Roman"/>
        </w:rPr>
        <w:t xml:space="preserve"> Denial of right to work for membership or nonmembership in labor organization declared to be against public policy.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It is hereby declared to be the public policy of this State that the right of persons to work shall not be denied or abridged on account of membership or nonmembership in any labor union or labor organization.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20.</w:t>
      </w:r>
      <w:r w:rsidR="00BC2FDD" w:rsidRPr="007E7877">
        <w:rPr>
          <w:rFonts w:cs="Times New Roman"/>
        </w:rPr>
        <w:t xml:space="preserve"> Agreement between employer and labor organization denying nonmembers right to work or requiring union membership unlawful.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30.</w:t>
      </w:r>
      <w:r w:rsidR="00BC2FDD" w:rsidRPr="007E7877">
        <w:rPr>
          <w:rFonts w:cs="Times New Roman"/>
        </w:rPr>
        <w:t xml:space="preserve"> Labor organization membership as condition of employment.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(A) It is unlawful for an employer to require an employee, as a condition of employment, or of continuance of employment to: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(1) be or become or remain a member or affiliate of a labor organization or agency;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(2) abstain or refrain from membership in a labor organization;  or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(3) pay any fees, dues, assessments, or other charges or sums of money to a person or organization.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 </w:t>
      </w: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(C) It is unlawful for a person or a labor organization to induce, cause, or encourage an employer to violate a provision of this section.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40.</w:t>
      </w:r>
      <w:r w:rsidR="00BC2FDD" w:rsidRPr="007E7877">
        <w:rPr>
          <w:rFonts w:cs="Times New Roman"/>
        </w:rPr>
        <w:t xml:space="preserve"> Deduction of labor organization membership dues from wages.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50.</w:t>
      </w:r>
      <w:r w:rsidR="00BC2FDD" w:rsidRPr="007E7877">
        <w:rPr>
          <w:rFonts w:cs="Times New Roman"/>
        </w:rPr>
        <w:t xml:space="preserve"> Labor organization contract violating right to work provisions.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It shall be unlawful for any labor organization to enter into or seek to effect any agreement, contract or arrangement with any employer declared to be unlawful by </w:t>
      </w:r>
      <w:r w:rsidR="007E7877" w:rsidRPr="007E7877">
        <w:rPr>
          <w:rFonts w:cs="Times New Roman"/>
        </w:rPr>
        <w:t xml:space="preserve">Sections </w:t>
      </w:r>
      <w:r w:rsidRPr="007E7877">
        <w:rPr>
          <w:rFonts w:cs="Times New Roman"/>
        </w:rPr>
        <w:t>41</w:t>
      </w:r>
      <w:r w:rsidR="007E7877" w:rsidRPr="007E7877">
        <w:rPr>
          <w:rFonts w:cs="Times New Roman"/>
        </w:rPr>
        <w:noBreakHyphen/>
      </w:r>
      <w:r w:rsidRPr="007E7877">
        <w:rPr>
          <w:rFonts w:cs="Times New Roman"/>
        </w:rPr>
        <w:t>7</w:t>
      </w:r>
      <w:r w:rsidR="007E7877" w:rsidRPr="007E7877">
        <w:rPr>
          <w:rFonts w:cs="Times New Roman"/>
        </w:rPr>
        <w:noBreakHyphen/>
      </w:r>
      <w:r w:rsidRPr="007E7877">
        <w:rPr>
          <w:rFonts w:cs="Times New Roman"/>
        </w:rPr>
        <w:t>20 or 41</w:t>
      </w:r>
      <w:r w:rsidR="007E7877" w:rsidRPr="007E7877">
        <w:rPr>
          <w:rFonts w:cs="Times New Roman"/>
        </w:rPr>
        <w:noBreakHyphen/>
      </w:r>
      <w:r w:rsidRPr="007E7877">
        <w:rPr>
          <w:rFonts w:cs="Times New Roman"/>
        </w:rPr>
        <w:t>7</w:t>
      </w:r>
      <w:r w:rsidR="007E7877" w:rsidRPr="007E7877">
        <w:rPr>
          <w:rFonts w:cs="Times New Roman"/>
        </w:rPr>
        <w:noBreakHyphen/>
      </w:r>
      <w:r w:rsidRPr="007E7877">
        <w:rPr>
          <w:rFonts w:cs="Times New Roman"/>
        </w:rPr>
        <w:t xml:space="preserve">30.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60.</w:t>
      </w:r>
      <w:r w:rsidR="00BC2FDD" w:rsidRPr="007E7877">
        <w:rPr>
          <w:rFonts w:cs="Times New Roman"/>
        </w:rPr>
        <w:t xml:space="preserve"> Applicability of right to work provisions.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The provisions of </w:t>
      </w:r>
      <w:r w:rsidR="007E7877" w:rsidRPr="007E7877">
        <w:rPr>
          <w:rFonts w:cs="Times New Roman"/>
        </w:rPr>
        <w:t xml:space="preserve">Sections </w:t>
      </w:r>
      <w:r w:rsidRPr="007E7877">
        <w:rPr>
          <w:rFonts w:cs="Times New Roman"/>
        </w:rPr>
        <w:t>41</w:t>
      </w:r>
      <w:r w:rsidR="007E7877" w:rsidRPr="007E7877">
        <w:rPr>
          <w:rFonts w:cs="Times New Roman"/>
        </w:rPr>
        <w:noBreakHyphen/>
      </w:r>
      <w:r w:rsidRPr="007E7877">
        <w:rPr>
          <w:rFonts w:cs="Times New Roman"/>
        </w:rPr>
        <w:t>7</w:t>
      </w:r>
      <w:r w:rsidR="007E7877" w:rsidRPr="007E7877">
        <w:rPr>
          <w:rFonts w:cs="Times New Roman"/>
        </w:rPr>
        <w:noBreakHyphen/>
      </w:r>
      <w:r w:rsidRPr="007E7877">
        <w:rPr>
          <w:rFonts w:cs="Times New Roman"/>
        </w:rPr>
        <w:t>20 to 41</w:t>
      </w:r>
      <w:r w:rsidR="007E7877" w:rsidRPr="007E7877">
        <w:rPr>
          <w:rFonts w:cs="Times New Roman"/>
        </w:rPr>
        <w:noBreakHyphen/>
      </w:r>
      <w:r w:rsidRPr="007E7877">
        <w:rPr>
          <w:rFonts w:cs="Times New Roman"/>
        </w:rPr>
        <w:t>7</w:t>
      </w:r>
      <w:r w:rsidR="007E7877" w:rsidRPr="007E7877">
        <w:rPr>
          <w:rFonts w:cs="Times New Roman"/>
        </w:rPr>
        <w:noBreakHyphen/>
      </w:r>
      <w:r w:rsidRPr="007E7877">
        <w:rPr>
          <w:rFonts w:cs="Times New Roman"/>
        </w:rPr>
        <w:t xml:space="preserve">40 shall not apply to any contract, otherwise lawful, in force and effect on March 19, 1954, but they shall apply to all contracts thereafter concluded and to any renewal or extension of existing contracts.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70.</w:t>
      </w:r>
      <w:r w:rsidR="00BC2FDD" w:rsidRPr="007E7877">
        <w:rPr>
          <w:rFonts w:cs="Times New Roman"/>
        </w:rPr>
        <w:t xml:space="preserve"> Interference with right to work, compelling labor organization membership, picketing and the like made unlawful.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It shall be unlawful for any person, acting alone or in concert with one or more persons: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 </w:t>
      </w: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Nothing in this section shall be construed so as to prohibit peaceful picketing permissible under the National Labor</w:t>
      </w:r>
      <w:r w:rsidR="007E7877" w:rsidRPr="007E7877">
        <w:rPr>
          <w:rFonts w:cs="Times New Roman"/>
        </w:rPr>
        <w:noBreakHyphen/>
      </w:r>
      <w:r w:rsidRPr="007E7877">
        <w:rPr>
          <w:rFonts w:cs="Times New Roman"/>
        </w:rPr>
        <w:t xml:space="preserve">Management Relations Act of 1947 and the Constitution of the United States.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75.</w:t>
      </w:r>
      <w:r w:rsidR="00BC2FDD" w:rsidRPr="007E7877">
        <w:rPr>
          <w:rFonts w:cs="Times New Roman"/>
        </w:rPr>
        <w:t xml:space="preserve"> Director to ensure chapter compliance; right of entry.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 </w:t>
      </w: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(C) After a complaint has been filed, if the director or his designee is denied admission to a place of employment, a warrant may be obtained pursuant to Section 41</w:t>
      </w:r>
      <w:r w:rsidR="007E7877" w:rsidRPr="007E7877">
        <w:rPr>
          <w:rFonts w:cs="Times New Roman"/>
        </w:rPr>
        <w:noBreakHyphen/>
      </w:r>
      <w:r w:rsidRPr="007E7877">
        <w:rPr>
          <w:rFonts w:cs="Times New Roman"/>
        </w:rPr>
        <w:t>15</w:t>
      </w:r>
      <w:r w:rsidR="007E7877" w:rsidRPr="007E7877">
        <w:rPr>
          <w:rFonts w:cs="Times New Roman"/>
        </w:rPr>
        <w:noBreakHyphen/>
      </w:r>
      <w:r w:rsidRPr="007E7877">
        <w:rPr>
          <w:rFonts w:cs="Times New Roman"/>
        </w:rPr>
        <w:t xml:space="preserve">260.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80.</w:t>
      </w:r>
      <w:r w:rsidR="00BC2FDD" w:rsidRPr="007E7877">
        <w:rPr>
          <w:rFonts w:cs="Times New Roman"/>
        </w:rPr>
        <w:t xml:space="preserve"> Penalties.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Any employer, labor organization or other person whomsoever who shall violate any provision of this chapter shall be guilty of a misdemeanor, and, upon conviction thereof in any court of competent jurisdiction, shall be punished by imprisonment for not less than ten nor more than thirty days or by a fine of not less than ten nor more than one thousand dollars or by both in the discretion of the court.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90.</w:t>
      </w:r>
      <w:r w:rsidR="00BC2FDD" w:rsidRPr="007E7877">
        <w:rPr>
          <w:rFonts w:cs="Times New Roman"/>
        </w:rPr>
        <w:t xml:space="preserve"> Remedy for violation of rights;  relief which court may grant.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Any person whose rights are adversely affected by any contract, agreement, assemblage or other act or thing done or threatened to be done and declared to be unlawful or prohibited by this chapter shall have the right to apply to any court having general equity jurisdiction for appropriate relief.  The court, in any such proceeding, may grant and issue such restraining, and other, orders as may be appropriate, including an injunction restraining and enjoining the performance, continuance, maintenance or commission of any such contract, agreement, assemblage, act or thing, and may determine and award, as justice may require, any actual damages, costs and attorneys</w:t>
      </w:r>
      <w:r w:rsidR="007E7877" w:rsidRPr="007E7877">
        <w:rPr>
          <w:rFonts w:cs="Times New Roman"/>
        </w:rPr>
        <w:t>’</w:t>
      </w:r>
      <w:r w:rsidRPr="007E7877">
        <w:rPr>
          <w:rFonts w:cs="Times New Roman"/>
        </w:rPr>
        <w:t xml:space="preserve"> fees which have been sustained or incurred by any party to the action, and, in the discretion of the court or jury, punitive damages in addition to the actual damages.  The provisions of this section are cumulative and are in addition to all other remedies now or hereafter provided by law.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b/>
        </w:rPr>
        <w:t xml:space="preserve">SECTION </w:t>
      </w:r>
      <w:r w:rsidR="00BC2FDD" w:rsidRPr="007E7877">
        <w:rPr>
          <w:rFonts w:cs="Times New Roman"/>
          <w:b/>
        </w:rPr>
        <w:t>41</w:t>
      </w:r>
      <w:r w:rsidRPr="007E7877">
        <w:rPr>
          <w:rFonts w:cs="Times New Roman"/>
          <w:b/>
        </w:rPr>
        <w:noBreakHyphen/>
      </w:r>
      <w:r w:rsidR="00BC2FDD" w:rsidRPr="007E7877">
        <w:rPr>
          <w:rFonts w:cs="Times New Roman"/>
          <w:b/>
        </w:rPr>
        <w:t>7</w:t>
      </w:r>
      <w:r w:rsidRPr="007E7877">
        <w:rPr>
          <w:rFonts w:cs="Times New Roman"/>
          <w:b/>
        </w:rPr>
        <w:noBreakHyphen/>
      </w:r>
      <w:r w:rsidR="00BC2FDD" w:rsidRPr="007E7877">
        <w:rPr>
          <w:rFonts w:cs="Times New Roman"/>
          <w:b/>
        </w:rPr>
        <w:t>100.</w:t>
      </w:r>
      <w:r w:rsidR="00BC2FDD" w:rsidRPr="007E7877">
        <w:rPr>
          <w:rFonts w:cs="Times New Roman"/>
        </w:rPr>
        <w:t xml:space="preserve"> Civil penalties; review and appeals. </w:t>
      </w:r>
    </w:p>
    <w:p w:rsid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(A) A person who violates the provisions of this chapter may be assessed by the Director of the Department of Labor, Licensing and Regulation a civil penalty of not more than one hundred dollars for each offense. </w:t>
      </w:r>
    </w:p>
    <w:p w:rsidR="00BC2FDD"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 xml:space="preserve">(B) The director shall promulgate regulations establishing procedures for administrative review of civil penalties assessed under this chapter. </w:t>
      </w:r>
    </w:p>
    <w:p w:rsidR="007E7877" w:rsidRPr="007E7877" w:rsidRDefault="00BC2FDD"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877">
        <w:rPr>
          <w:rFonts w:cs="Times New Roman"/>
        </w:rPr>
        <w:t>(C) A person aggrieved by a final action of the department may appeal the decision to the Administrative Law Judge Division in accordance with the Administrative Procedures Act and the rules of the Administrative Law Judge Division.  Service of a petition requesting a review does not stay the department</w:t>
      </w:r>
      <w:r w:rsidR="007E7877" w:rsidRPr="007E7877">
        <w:rPr>
          <w:rFonts w:cs="Times New Roman"/>
        </w:rPr>
        <w:t>’</w:t>
      </w:r>
      <w:r w:rsidRPr="007E7877">
        <w:rPr>
          <w:rFonts w:cs="Times New Roman"/>
        </w:rPr>
        <w:t xml:space="preserve">s decision pending completion of the appellate process. </w:t>
      </w:r>
    </w:p>
    <w:p w:rsidR="007E7877" w:rsidRPr="007E7877" w:rsidRDefault="007E7877"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57C" w:rsidRDefault="00CC557C"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7877" w:rsidRDefault="00184435" w:rsidP="007E7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7877" w:rsidSect="007E78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877" w:rsidRDefault="007E7877" w:rsidP="007E7877">
      <w:r>
        <w:separator/>
      </w:r>
    </w:p>
  </w:endnote>
  <w:endnote w:type="continuationSeparator" w:id="0">
    <w:p w:rsidR="007E7877" w:rsidRDefault="007E7877" w:rsidP="007E7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877" w:rsidRPr="007E7877" w:rsidRDefault="007E7877" w:rsidP="007E7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877" w:rsidRPr="007E7877" w:rsidRDefault="007E7877" w:rsidP="007E78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877" w:rsidRPr="007E7877" w:rsidRDefault="007E7877" w:rsidP="007E7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877" w:rsidRDefault="007E7877" w:rsidP="007E7877">
      <w:r>
        <w:separator/>
      </w:r>
    </w:p>
  </w:footnote>
  <w:footnote w:type="continuationSeparator" w:id="0">
    <w:p w:rsidR="007E7877" w:rsidRDefault="007E7877" w:rsidP="007E7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877" w:rsidRPr="007E7877" w:rsidRDefault="007E7877" w:rsidP="007E78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877" w:rsidRPr="007E7877" w:rsidRDefault="007E7877" w:rsidP="007E78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877" w:rsidRPr="007E7877" w:rsidRDefault="007E7877" w:rsidP="007E78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2FDD"/>
    <w:rsid w:val="00184435"/>
    <w:rsid w:val="00555DEA"/>
    <w:rsid w:val="006432BC"/>
    <w:rsid w:val="007E7877"/>
    <w:rsid w:val="00817EA2"/>
    <w:rsid w:val="00BC2FDD"/>
    <w:rsid w:val="00C43F44"/>
    <w:rsid w:val="00CC557C"/>
    <w:rsid w:val="00DF5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877"/>
    <w:rPr>
      <w:rFonts w:ascii="Tahoma" w:hAnsi="Tahoma" w:cs="Tahoma"/>
      <w:sz w:val="16"/>
      <w:szCs w:val="16"/>
    </w:rPr>
  </w:style>
  <w:style w:type="character" w:customStyle="1" w:styleId="BalloonTextChar">
    <w:name w:val="Balloon Text Char"/>
    <w:basedOn w:val="DefaultParagraphFont"/>
    <w:link w:val="BalloonText"/>
    <w:uiPriority w:val="99"/>
    <w:semiHidden/>
    <w:rsid w:val="007E7877"/>
    <w:rPr>
      <w:rFonts w:ascii="Tahoma" w:hAnsi="Tahoma" w:cs="Tahoma"/>
      <w:sz w:val="16"/>
      <w:szCs w:val="16"/>
    </w:rPr>
  </w:style>
  <w:style w:type="paragraph" w:styleId="Header">
    <w:name w:val="header"/>
    <w:basedOn w:val="Normal"/>
    <w:link w:val="HeaderChar"/>
    <w:uiPriority w:val="99"/>
    <w:semiHidden/>
    <w:unhideWhenUsed/>
    <w:rsid w:val="007E7877"/>
    <w:pPr>
      <w:tabs>
        <w:tab w:val="center" w:pos="4680"/>
        <w:tab w:val="right" w:pos="9360"/>
      </w:tabs>
    </w:pPr>
  </w:style>
  <w:style w:type="character" w:customStyle="1" w:styleId="HeaderChar">
    <w:name w:val="Header Char"/>
    <w:basedOn w:val="DefaultParagraphFont"/>
    <w:link w:val="Header"/>
    <w:uiPriority w:val="99"/>
    <w:semiHidden/>
    <w:rsid w:val="007E7877"/>
  </w:style>
  <w:style w:type="paragraph" w:styleId="Footer">
    <w:name w:val="footer"/>
    <w:basedOn w:val="Normal"/>
    <w:link w:val="FooterChar"/>
    <w:uiPriority w:val="99"/>
    <w:semiHidden/>
    <w:unhideWhenUsed/>
    <w:rsid w:val="007E7877"/>
    <w:pPr>
      <w:tabs>
        <w:tab w:val="center" w:pos="4680"/>
        <w:tab w:val="right" w:pos="9360"/>
      </w:tabs>
    </w:pPr>
  </w:style>
  <w:style w:type="character" w:customStyle="1" w:styleId="FooterChar">
    <w:name w:val="Footer Char"/>
    <w:basedOn w:val="DefaultParagraphFont"/>
    <w:link w:val="Footer"/>
    <w:uiPriority w:val="99"/>
    <w:semiHidden/>
    <w:rsid w:val="007E7877"/>
  </w:style>
  <w:style w:type="character" w:styleId="Hyperlink">
    <w:name w:val="Hyperlink"/>
    <w:basedOn w:val="DefaultParagraphFont"/>
    <w:semiHidden/>
    <w:rsid w:val="00CC55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8294</Characters>
  <Application>Microsoft Office Word</Application>
  <DocSecurity>0</DocSecurity>
  <Lines>69</Lines>
  <Paragraphs>19</Paragraphs>
  <ScaleCrop>false</ScaleCrop>
  <Company>LPITS</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