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44" w:rsidRDefault="001F5844">
      <w:pPr>
        <w:jc w:val="center"/>
      </w:pPr>
      <w:r>
        <w:t>DISCLAIMER</w:t>
      </w:r>
    </w:p>
    <w:p w:rsidR="001F5844" w:rsidRDefault="001F5844"/>
    <w:p w:rsidR="001F5844" w:rsidRDefault="001F584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F5844" w:rsidRDefault="001F5844"/>
    <w:p w:rsidR="001F5844" w:rsidRDefault="001F58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5844" w:rsidRDefault="001F5844"/>
    <w:p w:rsidR="001F5844" w:rsidRDefault="001F58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5844" w:rsidRDefault="001F5844"/>
    <w:p w:rsidR="001F5844" w:rsidRDefault="001F58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5844" w:rsidRDefault="001F5844"/>
    <w:p w:rsidR="001F5844" w:rsidRDefault="001F5844">
      <w:pPr>
        <w:rPr>
          <w:rFonts w:cs="Times New Roman"/>
        </w:rPr>
      </w:pPr>
      <w:r>
        <w:rPr>
          <w:rFonts w:cs="Times New Roman"/>
        </w:rPr>
        <w:br w:type="page"/>
      </w:r>
    </w:p>
    <w:p w:rsid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lastRenderedPageBreak/>
        <w:t>CHAPTER 3.</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t xml:space="preserve"> DEPARTMENT OF NATURAL RESOURCES</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89D" w:rsidRPr="009C6DC4">
        <w:rPr>
          <w:rFonts w:cs="Times New Roman"/>
        </w:rPr>
        <w:t>1.</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t xml:space="preserve"> COMPOSITION AND ORGANIZATION OF DEPARTMENT</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10.</w:t>
      </w:r>
      <w:r w:rsidR="00E3089D" w:rsidRPr="009C6DC4">
        <w:rPr>
          <w:rFonts w:cs="Times New Roman"/>
        </w:rPr>
        <w:t xml:space="preserve"> Former Wildlife and Marine Resources Department transferred to Department of Natural Resources.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80.</w:t>
      </w:r>
      <w:r w:rsidR="00E3089D" w:rsidRPr="009C6DC4">
        <w:rPr>
          <w:rFonts w:cs="Times New Roman"/>
        </w:rPr>
        <w:t xml:space="preserve"> Investigations;  reports and recommendations.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90.</w:t>
      </w:r>
      <w:r w:rsidR="00E3089D" w:rsidRPr="009C6DC4">
        <w:rPr>
          <w:rFonts w:cs="Times New Roman"/>
        </w:rPr>
        <w:t xml:space="preserve"> Conducting game and fish cultural operations and investigations;  sampling fish populations.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100.</w:t>
      </w:r>
      <w:r w:rsidR="00E3089D" w:rsidRPr="009C6DC4">
        <w:rPr>
          <w:rFonts w:cs="Times New Roman"/>
        </w:rPr>
        <w:t xml:space="preserve"> Acquisition, sale or other disposition of real property for game reserves, fish ponds, or other related purposes.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110.</w:t>
      </w:r>
      <w:r w:rsidR="00E3089D" w:rsidRPr="009C6DC4">
        <w:rPr>
          <w:rFonts w:cs="Times New Roman"/>
        </w:rPr>
        <w:t xml:space="preserve"> Supervision of enforcement officers;  enforcement of laws.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120.</w:t>
      </w:r>
      <w:r w:rsidR="00E3089D" w:rsidRPr="009C6DC4">
        <w:rPr>
          <w:rFonts w:cs="Times New Roman"/>
        </w:rPr>
        <w:t xml:space="preserve"> Wildlife law</w:t>
      </w:r>
      <w:r w:rsidRPr="009C6DC4">
        <w:rPr>
          <w:rFonts w:cs="Times New Roman"/>
        </w:rPr>
        <w:noBreakHyphen/>
      </w:r>
      <w:r w:rsidR="00E3089D" w:rsidRPr="009C6DC4">
        <w:rPr>
          <w:rFonts w:cs="Times New Roman"/>
        </w:rPr>
        <w:t xml:space="preserve">enforcement personnel designated as enforcement officers.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Notwithstanding any other provision of law, all law</w:t>
      </w:r>
      <w:r w:rsidR="009C6DC4" w:rsidRPr="009C6DC4">
        <w:rPr>
          <w:rFonts w:cs="Times New Roman"/>
        </w:rPr>
        <w:noBreakHyphen/>
      </w:r>
      <w:r w:rsidRPr="009C6DC4">
        <w:rPr>
          <w:rFonts w:cs="Times New Roman"/>
        </w:rPr>
        <w:t xml:space="preserve">enforcement personnel of the department are hereby designated enforcement officers with all the power and authority now possessed by game wardens, conservation officers, and inspectors as provided for in Chapters 1 through 19 of this title.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130.</w:t>
      </w:r>
      <w:r w:rsidR="00E3089D" w:rsidRPr="009C6DC4">
        <w:rPr>
          <w:rFonts w:cs="Times New Roman"/>
        </w:rPr>
        <w:t xml:space="preserve"> Uniforms and emblems of enforcement officers of Natural Resources Enforcement Division.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9C6DC4" w:rsidRPr="009C6DC4">
        <w:rPr>
          <w:rFonts w:cs="Times New Roman"/>
        </w:rPr>
        <w:t>’</w:t>
      </w:r>
      <w:r w:rsidRPr="009C6DC4">
        <w:rPr>
          <w:rFonts w:cs="Times New Roman"/>
        </w:rPr>
        <w:t xml:space="preserve">s vehicle or readily confused therewith.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140.</w:t>
      </w:r>
      <w:r w:rsidR="00E3089D" w:rsidRPr="009C6DC4">
        <w:rPr>
          <w:rFonts w:cs="Times New Roman"/>
        </w:rPr>
        <w:t xml:space="preserve"> Publication of description of uniforms and emblems.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department shall file with the Secretary of State and Legislative Council for publication in the State Register a description and illustration of the uniform and emblems of the official enforcement officers</w:t>
      </w:r>
      <w:r w:rsidR="009C6DC4" w:rsidRPr="009C6DC4">
        <w:rPr>
          <w:rFonts w:cs="Times New Roman"/>
        </w:rPr>
        <w:t>’</w:t>
      </w:r>
      <w:r w:rsidRPr="009C6DC4">
        <w:rPr>
          <w:rFonts w:cs="Times New Roman"/>
        </w:rPr>
        <w:t xml:space="preserve"> uniforms and motor vehicles and a description of the color of such uniforms and vehicles.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150.</w:t>
      </w:r>
      <w:r w:rsidR="00E3089D" w:rsidRPr="009C6DC4">
        <w:rPr>
          <w:rFonts w:cs="Times New Roman"/>
        </w:rPr>
        <w:t xml:space="preserve"> Use of present uniforms and motor vehicles.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In order to carry out the provisions of Sections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120 to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160 in an orderly and economical manner it is intended that all serviceable uniforms be continued in use until such time as the board deems it necessary for them to be replaced.  These provisions shall also apply to the emblems for motor vehicles.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160.</w:t>
      </w:r>
      <w:r w:rsidR="00E3089D" w:rsidRPr="009C6DC4">
        <w:rPr>
          <w:rFonts w:cs="Times New Roman"/>
        </w:rPr>
        <w:t xml:space="preserve"> Injunctions.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Any violation of Sections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130 to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160 may be enjoined by the court of common pleas upon petition of the department after due notice to the person violating the provisions of Sections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130 to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160 and after a hearing on the petition.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170.</w:t>
      </w:r>
      <w:r w:rsidR="00E3089D" w:rsidRPr="009C6DC4">
        <w:rPr>
          <w:rFonts w:cs="Times New Roman"/>
        </w:rPr>
        <w:t xml:space="preserve"> Quarterly reports on county fish and game funds and watercraft funds.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board shall file a quarterly report to each member of the General Assembly explaining the status of each county fish and game fund and watercraft fund, to include total funds for each county and an itemized list of expenditures for the past quarter.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180.</w:t>
      </w:r>
      <w:r w:rsidR="00E3089D" w:rsidRPr="009C6DC4">
        <w:rPr>
          <w:rFonts w:cs="Times New Roman"/>
        </w:rPr>
        <w:t xml:space="preserve"> Mitigation Trust Fund.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9C6DC4" w:rsidRPr="009C6DC4">
        <w:rPr>
          <w:rFonts w:cs="Times New Roman"/>
        </w:rPr>
        <w:noBreakHyphen/>
      </w:r>
      <w:r w:rsidRPr="009C6DC4">
        <w:rPr>
          <w:rFonts w:cs="Times New Roman"/>
        </w:rPr>
        <w:t xml:space="preserve">bearing account pursuant to South Carolina law.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(C) The income received and accruing from the fund must be spent only for the acquisition, restoration, enhancement, or management of property for mitigation for adverse impacts to natural resources.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(D) The proceeds from this fund may be carried forward from year to year and do not revert to the general fund of the State.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89D" w:rsidRPr="009C6DC4">
        <w:rPr>
          <w:rFonts w:cs="Times New Roman"/>
        </w:rPr>
        <w:t>3.</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t xml:space="preserve"> ENFORCEMENT OFFICERS NATURAL RESOURCES ENFORCEMENT DIVISION</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310.</w:t>
      </w:r>
      <w:r w:rsidR="00E3089D" w:rsidRPr="009C6DC4">
        <w:rPr>
          <w:rFonts w:cs="Times New Roman"/>
        </w:rPr>
        <w:t xml:space="preserve"> Appointment of enforcement officers;  commissions;  removal.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315.</w:t>
      </w:r>
      <w:r w:rsidR="00E3089D" w:rsidRPr="009C6DC4">
        <w:rPr>
          <w:rFonts w:cs="Times New Roman"/>
        </w:rPr>
        <w:t xml:space="preserve"> Deputy enforcement officers.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330.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(B) Except for specially designated department employees, deputy enforcement officers are volunteers covered by Chapter 25 of Title 8 and not employees entitled to coverage or benefits in Title 42.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(C) Except for specially designated department employees, deputy enforcement officers shall furnish their own equipment but may not equip privately owned vehicles with blue lights, sirens, or police</w:t>
      </w:r>
      <w:r w:rsidR="009C6DC4" w:rsidRPr="009C6DC4">
        <w:rPr>
          <w:rFonts w:cs="Times New Roman"/>
        </w:rPr>
        <w:noBreakHyphen/>
      </w:r>
      <w:r w:rsidRPr="009C6DC4">
        <w:rPr>
          <w:rFonts w:cs="Times New Roman"/>
        </w:rPr>
        <w:t xml:space="preserve">type markings.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(D) Deputy enforcement officers must be of good character.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(E) The department shall administer the deputy enforcement officers through its Natural Resources Enforcement Division.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(F) The number of deputy enforcement officers appointed is in the discretion of the director.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(G) All deputy enforcement officers: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must be certified by the South Carolina Criminal Justice Academy or successfully shall complete the </w:t>
      </w:r>
      <w:r w:rsidR="009C6DC4" w:rsidRPr="009C6DC4">
        <w:rPr>
          <w:rFonts w:cs="Times New Roman"/>
        </w:rPr>
        <w:t>“</w:t>
      </w:r>
      <w:r w:rsidRPr="009C6DC4">
        <w:rPr>
          <w:rFonts w:cs="Times New Roman"/>
        </w:rPr>
        <w:t>Basic State Constables Course</w:t>
      </w:r>
      <w:r w:rsidR="009C6DC4" w:rsidRPr="009C6DC4">
        <w:rPr>
          <w:rFonts w:cs="Times New Roman"/>
        </w:rPr>
        <w:t>”</w:t>
      </w:r>
      <w:r w:rsidRPr="009C6DC4">
        <w:rPr>
          <w:rFonts w:cs="Times New Roman"/>
        </w:rPr>
        <w:t xml:space="preserve"> at their own expense at one of the state technical schools;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successfully shall complete required refresher training;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(3) promptly shall comply with all directives by the Deputy Director of the Natural Resources Enforcement Division and the supervisor of enforcement officers within whose area the officer is acting.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(H) The department by regulation shall establish a training program for deputy enforcement officers commissioned after July 1, 1980.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316.</w:t>
      </w:r>
      <w:r w:rsidR="00E3089D" w:rsidRPr="009C6DC4">
        <w:rPr>
          <w:rFonts w:cs="Times New Roman"/>
        </w:rPr>
        <w:t xml:space="preserve"> Criteria for hiring enforcement officers.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320.</w:t>
      </w:r>
      <w:r w:rsidR="00E3089D" w:rsidRPr="009C6DC4">
        <w:rPr>
          <w:rFonts w:cs="Times New Roman"/>
        </w:rPr>
        <w:t xml:space="preserve"> Transmittal and delivery of commissions of enforcement officers.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Secretary of State shall transmit to the board the commissions of all enforcement officers and the director shall deliver such commissions to the enforcement officers only after the enforcement officers have filed oaths and bonds as required by Section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330.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330.</w:t>
      </w:r>
      <w:r w:rsidR="00E3089D" w:rsidRPr="009C6DC4">
        <w:rPr>
          <w:rFonts w:cs="Times New Roman"/>
        </w:rPr>
        <w:t xml:space="preserve"> Oath;  bond.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340.</w:t>
      </w:r>
      <w:r w:rsidR="00E3089D" w:rsidRPr="009C6DC4">
        <w:rPr>
          <w:rFonts w:cs="Times New Roman"/>
        </w:rPr>
        <w:t xml:space="preserve"> Statewide authority of enforcement officers.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enforcement officers, when acting in their official capacity, shall have statewide authority for the enforcement of all laws relating to wildlife, marine, and natural resources.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350.</w:t>
      </w:r>
      <w:r w:rsidR="00E3089D" w:rsidRPr="009C6DC4">
        <w:rPr>
          <w:rFonts w:cs="Times New Roman"/>
        </w:rPr>
        <w:t xml:space="preserve"> Official badge.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enforcement officers, when acting in their official capacity, shall wear a metallic shield with the words </w:t>
      </w:r>
      <w:r w:rsidR="009C6DC4" w:rsidRPr="009C6DC4">
        <w:rPr>
          <w:rFonts w:cs="Times New Roman"/>
        </w:rPr>
        <w:t>“</w:t>
      </w:r>
      <w:r w:rsidRPr="009C6DC4">
        <w:rPr>
          <w:rFonts w:cs="Times New Roman"/>
        </w:rPr>
        <w:t>Enforcement Officer of the Natural Resources Enforcement Division</w:t>
      </w:r>
      <w:r w:rsidR="009C6DC4" w:rsidRPr="009C6DC4">
        <w:rPr>
          <w:rFonts w:cs="Times New Roman"/>
        </w:rPr>
        <w:t>”</w:t>
      </w:r>
      <w:r w:rsidRPr="009C6DC4">
        <w:rPr>
          <w:rFonts w:cs="Times New Roman"/>
        </w:rPr>
        <w:t xml:space="preserve"> inscribed thereon.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bCs/>
        </w:rPr>
        <w:t>50</w:t>
      </w:r>
      <w:r w:rsidRPr="009C6DC4">
        <w:rPr>
          <w:rFonts w:cs="Times New Roman"/>
          <w:b/>
          <w:bCs/>
        </w:rPr>
        <w:noBreakHyphen/>
      </w:r>
      <w:r w:rsidR="00E3089D" w:rsidRPr="009C6DC4">
        <w:rPr>
          <w:rFonts w:cs="Times New Roman"/>
          <w:b/>
          <w:bCs/>
        </w:rPr>
        <w:t>3</w:t>
      </w:r>
      <w:r w:rsidRPr="009C6DC4">
        <w:rPr>
          <w:rFonts w:cs="Times New Roman"/>
          <w:b/>
          <w:bCs/>
        </w:rPr>
        <w:noBreakHyphen/>
      </w:r>
      <w:r w:rsidR="00E3089D" w:rsidRPr="009C6DC4">
        <w:rPr>
          <w:rFonts w:cs="Times New Roman"/>
          <w:b/>
          <w:bCs/>
        </w:rPr>
        <w:t>360.</w:t>
      </w:r>
      <w:r w:rsidR="00E3089D" w:rsidRPr="009C6DC4">
        <w:rPr>
          <w:rFonts w:cs="Times New Roman"/>
        </w:rPr>
        <w:t xml:space="preserve"> </w:t>
      </w:r>
      <w:r w:rsidR="00E3089D" w:rsidRPr="009C6DC4">
        <w:rPr>
          <w:rFonts w:cs="Times New Roman"/>
          <w:bCs/>
        </w:rPr>
        <w:t>Repealed</w:t>
      </w:r>
      <w:r w:rsidR="00E3089D" w:rsidRPr="009C6DC4">
        <w:rPr>
          <w:rFonts w:cs="Times New Roman"/>
        </w:rPr>
        <w:t xml:space="preserve"> by 2008 Act No. 286, </w:t>
      </w:r>
      <w:r w:rsidRPr="009C6DC4">
        <w:rPr>
          <w:rFonts w:cs="Times New Roman"/>
        </w:rPr>
        <w:t xml:space="preserve">Section </w:t>
      </w:r>
      <w:r w:rsidR="00E3089D" w:rsidRPr="009C6DC4">
        <w:rPr>
          <w:rFonts w:cs="Times New Roman"/>
        </w:rPr>
        <w:t xml:space="preserve">11, eff June 11, 2008. </w:t>
      </w:r>
    </w:p>
    <w:p w:rsidR="001F5844" w:rsidRDefault="001F584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370.</w:t>
      </w:r>
      <w:r w:rsidR="00E3089D" w:rsidRPr="009C6DC4">
        <w:rPr>
          <w:rFonts w:cs="Times New Roman"/>
        </w:rPr>
        <w:t xml:space="preserve"> Obtaining information on violations;  checking bag limits.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All enforcement officers shall obtain information as to all violations of the bird, nonmigratory fish, and game laws, and check all bag limits, size and specie of such birds, nonmigratory fish and game.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380.</w:t>
      </w:r>
      <w:r w:rsidR="00E3089D" w:rsidRPr="009C6DC4">
        <w:rPr>
          <w:rFonts w:cs="Times New Roman"/>
        </w:rPr>
        <w:t xml:space="preserve"> Search for and seizure of game and fish possessed unlawfully.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390.</w:t>
      </w:r>
      <w:r w:rsidR="00E3089D" w:rsidRPr="009C6DC4">
        <w:rPr>
          <w:rFonts w:cs="Times New Roman"/>
        </w:rPr>
        <w:t xml:space="preserve"> Duty to enforce laws and prosecute.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enforcement officers shall see that the bird, nonmigratory fish and game laws are enforced and prosecute all persons having in their possession any birds, nonmigratory fish or game contrary to the bird, fish and game laws of this State.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395.</w:t>
      </w:r>
      <w:r w:rsidR="00E3089D" w:rsidRPr="009C6DC4">
        <w:rPr>
          <w:rFonts w:cs="Times New Roman"/>
        </w:rPr>
        <w:t xml:space="preserve"> Enforcement officers may issue warning tickets.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Enforcement officers may issue warning tickets to violators in cases of misdemeanor violations under this title.  The department shall by regulation provide for the form, administration, and use of warning tickets authorized by this section.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396.</w:t>
      </w:r>
      <w:r w:rsidR="00E3089D" w:rsidRPr="009C6DC4">
        <w:rPr>
          <w:rFonts w:cs="Times New Roman"/>
        </w:rPr>
        <w:t xml:space="preserve"> Use of enforcement officers</w:t>
      </w:r>
      <w:r w:rsidRPr="009C6DC4">
        <w:rPr>
          <w:rFonts w:cs="Times New Roman"/>
        </w:rPr>
        <w:t>’</w:t>
      </w:r>
      <w:r w:rsidR="00E3089D" w:rsidRPr="009C6DC4">
        <w:rPr>
          <w:rFonts w:cs="Times New Roman"/>
        </w:rPr>
        <w:t xml:space="preserve"> official summons for littering violations.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official summons used by enforcement officers may be used to cite violators of the provisions of Section 16</w:t>
      </w:r>
      <w:r w:rsidR="009C6DC4" w:rsidRPr="009C6DC4">
        <w:rPr>
          <w:rFonts w:cs="Times New Roman"/>
        </w:rPr>
        <w:noBreakHyphen/>
      </w:r>
      <w:r w:rsidRPr="009C6DC4">
        <w:rPr>
          <w:rFonts w:cs="Times New Roman"/>
        </w:rPr>
        <w:t>11</w:t>
      </w:r>
      <w:r w:rsidR="009C6DC4" w:rsidRPr="009C6DC4">
        <w:rPr>
          <w:rFonts w:cs="Times New Roman"/>
        </w:rPr>
        <w:noBreakHyphen/>
      </w:r>
      <w:r w:rsidRPr="009C6DC4">
        <w:rPr>
          <w:rFonts w:cs="Times New Roman"/>
        </w:rPr>
        <w:t xml:space="preserve">700 relating to littering.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400.</w:t>
      </w:r>
      <w:r w:rsidR="00E3089D" w:rsidRPr="009C6DC4">
        <w:rPr>
          <w:rFonts w:cs="Times New Roman"/>
        </w:rPr>
        <w:t xml:space="preserve"> Enforcement officers granted powers and authorities of constables and authority of inspectors.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enforcement officer qualified under Sections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320 and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330 shall possess and exercise all of the power and authorities held and exercised by the constable at common law and under the statutes of this State.  He shall also have the authority of inspector as provided for in Chapter 5 of this title.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410.</w:t>
      </w:r>
      <w:r w:rsidR="00E3089D" w:rsidRPr="009C6DC4">
        <w:rPr>
          <w:rFonts w:cs="Times New Roman"/>
        </w:rPr>
        <w:t xml:space="preserve"> Summons;  posting of monetary bond in lieu of personal appearance or incarceration.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420.</w:t>
      </w:r>
      <w:r w:rsidR="00E3089D" w:rsidRPr="009C6DC4">
        <w:rPr>
          <w:rFonts w:cs="Times New Roman"/>
        </w:rPr>
        <w:t xml:space="preserve"> Immunity from prosecution.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Neither any officer of the Lake Wylie Marine Commission nor any enforcement officer or deputy enforcement officer of the Department of Natural Resources is subject to criminal prosecution when acting in his official capacity within his territorial jurisdiction for: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failing to comply with statutes or regulations governing the operations of motor vehicles, watercraft, or aircraft;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entering into private property, whether or not posted against trespassing;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(3) failure to comply with wildlife conservation and boating laws of this State as a necessary part of the investigation or enforcement effort in enforcing those laws.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89D" w:rsidRPr="009C6DC4">
        <w:rPr>
          <w:rFonts w:cs="Times New Roman"/>
        </w:rPr>
        <w:t>5.</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t xml:space="preserve"> CUTTING OF TIMBER ON LANDS HELD BY DEPARTMENT</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510.</w:t>
      </w:r>
      <w:r w:rsidR="00E3089D" w:rsidRPr="009C6DC4">
        <w:rPr>
          <w:rFonts w:cs="Times New Roman"/>
        </w:rPr>
        <w:t xml:space="preserve"> Authorization to contract;  required findings;  approval by State Forester.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department may, subject to the provisions of this article contract for the selective cutting and sale of timber on any lands held by the department on behalf of its Wildlife and Freshwater Fish Division.  No contract for such cutting and sale shall be entered into and no timber shall be cut or sold unless the board decides that the cutting and sale of such timber is for the best interests of the department and the improvement of its lands, by reason of thinning the timber, harvesting the over</w:t>
      </w:r>
      <w:r w:rsidR="009C6DC4" w:rsidRPr="009C6DC4">
        <w:rPr>
          <w:rFonts w:cs="Times New Roman"/>
        </w:rPr>
        <w:noBreakHyphen/>
      </w:r>
      <w:r w:rsidRPr="009C6DC4">
        <w:rPr>
          <w:rFonts w:cs="Times New Roman"/>
        </w:rPr>
        <w:t xml:space="preserve">age trees and improving general forestry conditions.  Prior to selling or cutting any such timber the matter shall be submitted to the State Forester, who shall investigate the propriety of making such cutting and shall have the timber cruised and an estimate of the value made.  If the State Forester finds that the sale is not in keeping with good forestry practices or will adversely affect the remainder of the timber, the sale shall not be made.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520.</w:t>
      </w:r>
      <w:r w:rsidR="00E3089D" w:rsidRPr="009C6DC4">
        <w:rPr>
          <w:rFonts w:cs="Times New Roman"/>
        </w:rPr>
        <w:t xml:space="preserve"> Advertising for bids;  rejection of bids;  terms of sale.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If the sale is approved by the State Forester, the department shall publicly advertise for bids for such timber in at least two newspapers of general circulation in the area in which the timber is located, such advertisements to be published at least once a week for three weeks prior to the closing of the bidding.  The board shall have the right to reject any and all bids, either on account of the amounts of the bids or the lack of experience and responsibility of the bidder.  Any sale agreed upon shall be for cash.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530.</w:t>
      </w:r>
      <w:r w:rsidR="00E3089D" w:rsidRPr="009C6DC4">
        <w:rPr>
          <w:rFonts w:cs="Times New Roman"/>
        </w:rPr>
        <w:t xml:space="preserve"> Execution of deeds and contracts.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Any deeds or contracts required in carrying out the provisions of this article may, by resolution of the board, be executed and delivered on its behalf by its chairman and by the director.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540.</w:t>
      </w:r>
      <w:r w:rsidR="00E3089D" w:rsidRPr="009C6DC4">
        <w:rPr>
          <w:rFonts w:cs="Times New Roman"/>
        </w:rPr>
        <w:t xml:space="preserve"> State Forester to mark trees to be cut.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State Forester shall have all trees to be cut properly marked prior to the commencement of the cutting.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550.</w:t>
      </w:r>
      <w:r w:rsidR="00E3089D" w:rsidRPr="009C6DC4">
        <w:rPr>
          <w:rFonts w:cs="Times New Roman"/>
        </w:rPr>
        <w:t xml:space="preserve"> Disposition of proceeds of sale.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proceeds of the sale must be deposited with the Treasurer to the credit of the Fish and Wild Life Protection Fund.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89D" w:rsidRPr="009C6DC4">
        <w:rPr>
          <w:rFonts w:cs="Times New Roman"/>
        </w:rPr>
        <w:t>7.</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t xml:space="preserve"> WILDLIFE ENDOWMENT FUND</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710.</w:t>
      </w:r>
      <w:r w:rsidR="00E3089D" w:rsidRPr="009C6DC4">
        <w:rPr>
          <w:rFonts w:cs="Times New Roman"/>
        </w:rPr>
        <w:t xml:space="preserve"> Wildlife Endowment Fund;  purpose.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There is created the South Carolina Wildlife Endowment Fund, the income and principal of which must be used only for the purpose of supporting wildlife conservation programs of the State.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720.</w:t>
      </w:r>
      <w:r w:rsidR="00E3089D" w:rsidRPr="009C6DC4">
        <w:rPr>
          <w:rFonts w:cs="Times New Roman"/>
        </w:rPr>
        <w:t xml:space="preserve"> Board of Trustees of Wildlife Endowment Fund;  State Treasurer as custodian of fund.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730.</w:t>
      </w:r>
      <w:r w:rsidR="00E3089D" w:rsidRPr="009C6DC4">
        <w:rPr>
          <w:rFonts w:cs="Times New Roman"/>
        </w:rPr>
        <w:t xml:space="preserve"> Source of assets for fund.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assets of the fund are derived from: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the proceeds of any gifts, grants, and contributions to the State which are designated specifically for inclusion;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the proceeds from the sale of all lifetime privileges;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(3) any amount in excess of the statutory fee for a particular lifetime license which qualifies as a tax</w:t>
      </w:r>
      <w:r w:rsidR="009C6DC4" w:rsidRPr="009C6DC4">
        <w:rPr>
          <w:rFonts w:cs="Times New Roman"/>
        </w:rPr>
        <w:noBreakHyphen/>
      </w:r>
      <w:r w:rsidRPr="009C6DC4">
        <w:rPr>
          <w:rFonts w:cs="Times New Roman"/>
        </w:rPr>
        <w:t xml:space="preserve">exempt donation to the State;  and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(4) other sources specified by law.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740.</w:t>
      </w:r>
      <w:r w:rsidR="00E3089D" w:rsidRPr="009C6DC4">
        <w:rPr>
          <w:rFonts w:cs="Times New Roman"/>
        </w:rPr>
        <w:t xml:space="preserve"> Limitations and restrictions on expenditures from fund.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Any limitations or restrictions specified by the donors on the uses of the income derived from the gifts, grants, and voluntary contributions are respected but are not binding.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No expenditure or disbursement may be made from the principal of the fund except as otherwise provided by law.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(3) The income received and accruing from the investments of the fund must be spent only in furthering the conservation of wildlife resources and the efficient operation of the department in accomplishing the purposes of the department as set forth in this title.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750.</w:t>
      </w:r>
      <w:r w:rsidR="00E3089D" w:rsidRPr="009C6DC4">
        <w:rPr>
          <w:rFonts w:cs="Times New Roman"/>
        </w:rPr>
        <w:t xml:space="preserve"> Authority of board to accumulate income and direct expenditures from income.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board may accumulate the investment income of the fund and may direct expenditures from the income of the fund for the purposes set out in Section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740(3).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760.</w:t>
      </w:r>
      <w:r w:rsidR="00E3089D" w:rsidRPr="009C6DC4">
        <w:rPr>
          <w:rFonts w:cs="Times New Roman"/>
        </w:rPr>
        <w:t xml:space="preserve"> Expenditures to be in accordance with general appropriation act.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Expenditure of the income derived from the fund must be made through the board in accordance with the provisions of the general appropriation act.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770.</w:t>
      </w:r>
      <w:r w:rsidR="00E3089D" w:rsidRPr="009C6DC4">
        <w:rPr>
          <w:rFonts w:cs="Times New Roman"/>
        </w:rPr>
        <w:t xml:space="preserve"> Fund as supplement to state appropriations.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fund and income do not take the place of state appropriations or department receipts placed in the fund, but any portion of the income of the fund available for the purpose set out in Section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740(3) must be used to supplement other income of and appropriations to the department.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780.</w:t>
      </w:r>
      <w:r w:rsidR="00E3089D" w:rsidRPr="009C6DC4">
        <w:rPr>
          <w:rFonts w:cs="Times New Roman"/>
        </w:rPr>
        <w:t xml:space="preserve"> Fund not affected by dissolution or substitution of trustee agency or by amendment or repeal of statutes.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790.</w:t>
      </w:r>
      <w:r w:rsidR="00E3089D" w:rsidRPr="009C6DC4">
        <w:rPr>
          <w:rFonts w:cs="Times New Roman"/>
        </w:rPr>
        <w:t xml:space="preserve"> Increase in existing lifetime license fees when annual fees increase.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In the event the annual combination license, the annual hunting license, or the annual fishing license fee increases, the percentage of increase for each annual license may be applied to the existing lifetime license fees and each lifetime license fee may be increased accordingly, rounding the fee to the next highest dollar.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800.</w:t>
      </w:r>
      <w:r w:rsidR="00E3089D" w:rsidRPr="009C6DC4">
        <w:rPr>
          <w:rFonts w:cs="Times New Roman"/>
        </w:rPr>
        <w:t xml:space="preserve"> Lifetime licenses not affected by transfer of residency of licensees.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A lifetime licensee shall not lose the privileges of such license by a subsequent transfer of residency.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89D" w:rsidRPr="009C6DC4">
        <w:rPr>
          <w:rFonts w:cs="Times New Roman"/>
        </w:rPr>
        <w:t>9.</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t xml:space="preserve"> JOCASSEE GORGES TRUST FUND</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900.</w:t>
      </w:r>
      <w:r w:rsidR="00E3089D" w:rsidRPr="009C6DC4">
        <w:rPr>
          <w:rFonts w:cs="Times New Roman"/>
        </w:rPr>
        <w:t xml:space="preserve"> Creation of Jocassee Gorges Trust Fund;  purpose.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910.</w:t>
      </w:r>
      <w:r w:rsidR="00E3089D" w:rsidRPr="009C6DC4">
        <w:rPr>
          <w:rFonts w:cs="Times New Roman"/>
        </w:rPr>
        <w:t xml:space="preserve"> Board of Trustees;  duties;  members.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920.</w:t>
      </w:r>
      <w:r w:rsidR="00E3089D" w:rsidRPr="009C6DC4">
        <w:rPr>
          <w:rFonts w:cs="Times New Roman"/>
        </w:rPr>
        <w:t xml:space="preserve"> Sources of fund assets.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assets of the fund are derived from: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the proceeds of any gifts, grants, and contributions to the State which are designated specifically for inclusion;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other lawful sources.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930.</w:t>
      </w:r>
      <w:r w:rsidR="00E3089D" w:rsidRPr="009C6DC4">
        <w:rPr>
          <w:rFonts w:cs="Times New Roman"/>
        </w:rPr>
        <w:t xml:space="preserve"> Expenditures;  limitations and restrictions.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Any limitations or restrictions specified by the donors on the uses of the income derived from the gifts, grants, and voluntary contributions are respected but are not binding.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After applying income received and accruing from the investments of gifts, grants, and contributions, the board of trustees of the fund may liquidate and expend principal of the fund.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(3) The income received and accruing from the investments of the fund must be spent only to acquire additional real property complementary to or protective of the Jocassee Gorges and in furthering the operation and maintenance of the Jocassee Gorges.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940.</w:t>
      </w:r>
      <w:r w:rsidR="00E3089D" w:rsidRPr="009C6DC4">
        <w:rPr>
          <w:rFonts w:cs="Times New Roman"/>
        </w:rPr>
        <w:t xml:space="preserve"> Investment income;  expenditures for specified purposes.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board may accumulate the investment income of the fund and may direct expenditures from the income of the fund for the purposes set forth in Section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930(3).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950.</w:t>
      </w:r>
      <w:r w:rsidR="00E3089D" w:rsidRPr="009C6DC4">
        <w:rPr>
          <w:rFonts w:cs="Times New Roman"/>
        </w:rPr>
        <w:t xml:space="preserve"> Procedure for making expenditures.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Expenditure of the income derived from the fund must be made through the board in accordance with the provisions of the general appropriation act.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960.</w:t>
      </w:r>
      <w:r w:rsidR="00E3089D" w:rsidRPr="009C6DC4">
        <w:rPr>
          <w:rFonts w:cs="Times New Roman"/>
        </w:rPr>
        <w:t xml:space="preserve"> Fund and income not to take place of state appropriations or department receipts.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The fund and income do not take the place of state appropriations or department receipts placed in the fund and must be used in accordance with Section 50</w:t>
      </w:r>
      <w:r w:rsidR="009C6DC4" w:rsidRPr="009C6DC4">
        <w:rPr>
          <w:rFonts w:cs="Times New Roman"/>
        </w:rPr>
        <w:noBreakHyphen/>
      </w:r>
      <w:r w:rsidRPr="009C6DC4">
        <w:rPr>
          <w:rFonts w:cs="Times New Roman"/>
        </w:rPr>
        <w:t>3</w:t>
      </w:r>
      <w:r w:rsidR="009C6DC4" w:rsidRPr="009C6DC4">
        <w:rPr>
          <w:rFonts w:cs="Times New Roman"/>
        </w:rPr>
        <w:noBreakHyphen/>
      </w:r>
      <w:r w:rsidRPr="009C6DC4">
        <w:rPr>
          <w:rFonts w:cs="Times New Roman"/>
        </w:rPr>
        <w:t xml:space="preserve">930(3).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970.</w:t>
      </w:r>
      <w:r w:rsidR="00E3089D" w:rsidRPr="009C6DC4">
        <w:rPr>
          <w:rFonts w:cs="Times New Roman"/>
        </w:rPr>
        <w:t xml:space="preserve"> Alternate trusteeship of fund.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If the board of the Department of Natural Resources is dissolved, the succeeding agency shall assume the trusteeship of the fund and is bound by all the limitations and restrictions placed by this article on expenditures from the fund.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089D" w:rsidRPr="009C6DC4">
        <w:rPr>
          <w:rFonts w:cs="Times New Roman"/>
        </w:rPr>
        <w:t>11.</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C6DC4">
        <w:rPr>
          <w:rFonts w:cs="Times New Roman"/>
        </w:rPr>
        <w:t xml:space="preserve"> CONSERVATION GRANT FUND</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1110.</w:t>
      </w:r>
      <w:r w:rsidR="00E3089D" w:rsidRPr="009C6DC4">
        <w:rPr>
          <w:rFonts w:cs="Times New Roman"/>
        </w:rPr>
        <w:t xml:space="preserve"> Conservation Grant Fund established.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There is created in the state treasury a fund separate and distinct from the general fund of the State and all other funds styled the </w:t>
      </w:r>
      <w:r w:rsidR="009C6DC4" w:rsidRPr="009C6DC4">
        <w:rPr>
          <w:rFonts w:cs="Times New Roman"/>
        </w:rPr>
        <w:t>“</w:t>
      </w:r>
      <w:r w:rsidRPr="009C6DC4">
        <w:rPr>
          <w:rFonts w:cs="Times New Roman"/>
        </w:rPr>
        <w:t>Conservation Grant Fund</w:t>
      </w:r>
      <w:r w:rsidR="009C6DC4" w:rsidRPr="009C6DC4">
        <w:rPr>
          <w:rFonts w:cs="Times New Roman"/>
        </w:rPr>
        <w:t>”</w:t>
      </w:r>
      <w:r w:rsidRPr="009C6DC4">
        <w:rPr>
          <w:rFonts w:cs="Times New Roman"/>
        </w:rPr>
        <w:t xml:space="preserve">.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1120.</w:t>
      </w:r>
      <w:r w:rsidR="00E3089D" w:rsidRPr="009C6DC4">
        <w:rPr>
          <w:rFonts w:cs="Times New Roman"/>
        </w:rPr>
        <w:t xml:space="preserve"> Board;  administration of fund.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board of the Department of Natural Resources serves ex officio as the Conservation Grant Fund Board with full authority over the administration of the fund.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1130.</w:t>
      </w:r>
      <w:r w:rsidR="00E3089D" w:rsidRPr="009C6DC4">
        <w:rPr>
          <w:rFonts w:cs="Times New Roman"/>
        </w:rPr>
        <w:t xml:space="preserve"> Funding.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Conservation Grant Fund shall consist of any monies appropriated to it by the General Assembly and other monies received from public or private sources.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1140.</w:t>
      </w:r>
      <w:r w:rsidR="00E3089D" w:rsidRPr="009C6DC4">
        <w:rPr>
          <w:rFonts w:cs="Times New Roman"/>
        </w:rPr>
        <w:t xml:space="preserve"> Qualification for tax credit as requirement for real property to be subject of grant.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In order for real property to be the subject of a grant under this article, the land must qualify for the tax credit allowed pursuant to Section 12</w:t>
      </w:r>
      <w:r w:rsidR="009C6DC4" w:rsidRPr="009C6DC4">
        <w:rPr>
          <w:rFonts w:cs="Times New Roman"/>
        </w:rPr>
        <w:noBreakHyphen/>
      </w:r>
      <w:r w:rsidRPr="009C6DC4">
        <w:rPr>
          <w:rFonts w:cs="Times New Roman"/>
        </w:rPr>
        <w:t>6</w:t>
      </w:r>
      <w:r w:rsidR="009C6DC4" w:rsidRPr="009C6DC4">
        <w:rPr>
          <w:rFonts w:cs="Times New Roman"/>
        </w:rPr>
        <w:noBreakHyphen/>
      </w:r>
      <w:r w:rsidRPr="009C6DC4">
        <w:rPr>
          <w:rFonts w:cs="Times New Roman"/>
        </w:rPr>
        <w:t xml:space="preserve">3515.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1150.</w:t>
      </w:r>
      <w:r w:rsidR="00E3089D" w:rsidRPr="009C6DC4">
        <w:rPr>
          <w:rFonts w:cs="Times New Roman"/>
        </w:rPr>
        <w:t xml:space="preserve"> Uses of Fund revenues and grants;  restrictions.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(A) Revenues in the Conservation Grant Fund may be used by the department only to: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defray the administrative costs of the department in administering the grant purpose provided for by this article;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provide education on conservation easements and fee simple gifts of land for conservation, including information material intended for landowners and education for staff and volunteers;  and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(3) make conservation grants.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(B) A grant from the Conservation Grant Fund may be used only to pay for one or more of the following costs: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(1) reimbursement for total or partial transaction costs for donations that otherwise would not be made because of insufficient financial revenues;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(2) management support, including initial baseline inventory and planning;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(3) monitoring compliance with conservation easements; </w:t>
      </w:r>
    </w:p>
    <w:p w:rsidR="00E3089D"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(4) education on conservation easements and fee simple gifts of land for conservation, including information materials intended for landowners, and education for staff and volunteers. </w:t>
      </w: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(C) Fund proceeds may not be used to pay the purchase price of any interest in real property.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b/>
        </w:rPr>
        <w:t xml:space="preserve">SECTION </w:t>
      </w:r>
      <w:r w:rsidR="00E3089D" w:rsidRPr="009C6DC4">
        <w:rPr>
          <w:rFonts w:cs="Times New Roman"/>
          <w:b/>
        </w:rPr>
        <w:t>50</w:t>
      </w:r>
      <w:r w:rsidRPr="009C6DC4">
        <w:rPr>
          <w:rFonts w:cs="Times New Roman"/>
          <w:b/>
        </w:rPr>
        <w:noBreakHyphen/>
      </w:r>
      <w:r w:rsidR="00E3089D" w:rsidRPr="009C6DC4">
        <w:rPr>
          <w:rFonts w:cs="Times New Roman"/>
          <w:b/>
        </w:rPr>
        <w:t>3</w:t>
      </w:r>
      <w:r w:rsidRPr="009C6DC4">
        <w:rPr>
          <w:rFonts w:cs="Times New Roman"/>
          <w:b/>
        </w:rPr>
        <w:noBreakHyphen/>
      </w:r>
      <w:r w:rsidR="00E3089D" w:rsidRPr="009C6DC4">
        <w:rPr>
          <w:rFonts w:cs="Times New Roman"/>
          <w:b/>
        </w:rPr>
        <w:t>1160.</w:t>
      </w:r>
      <w:r w:rsidR="00E3089D" w:rsidRPr="009C6DC4">
        <w:rPr>
          <w:rFonts w:cs="Times New Roman"/>
        </w:rPr>
        <w:t xml:space="preserve"> Grants;  establishment of criteria for awarding; procedures. </w:t>
      </w:r>
    </w:p>
    <w:p w:rsid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6DC4" w:rsidRPr="009C6DC4" w:rsidRDefault="00E3089D"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C6DC4">
        <w:rPr>
          <w:rFonts w:cs="Times New Roman"/>
        </w:rPr>
        <w:t xml:space="preserve">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 </w:t>
      </w:r>
    </w:p>
    <w:p w:rsidR="009C6DC4" w:rsidRPr="009C6DC4" w:rsidRDefault="009C6DC4"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C6DC4" w:rsidRDefault="00184435" w:rsidP="009C6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C6DC4" w:rsidSect="009C6D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DC4" w:rsidRDefault="009C6DC4" w:rsidP="009C6DC4">
      <w:r>
        <w:separator/>
      </w:r>
    </w:p>
  </w:endnote>
  <w:endnote w:type="continuationSeparator" w:id="0">
    <w:p w:rsidR="009C6DC4" w:rsidRDefault="009C6DC4" w:rsidP="009C6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4" w:rsidRPr="009C6DC4" w:rsidRDefault="009C6DC4" w:rsidP="009C6D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4" w:rsidRPr="009C6DC4" w:rsidRDefault="009C6DC4" w:rsidP="009C6D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4" w:rsidRPr="009C6DC4" w:rsidRDefault="009C6DC4" w:rsidP="009C6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DC4" w:rsidRDefault="009C6DC4" w:rsidP="009C6DC4">
      <w:r>
        <w:separator/>
      </w:r>
    </w:p>
  </w:footnote>
  <w:footnote w:type="continuationSeparator" w:id="0">
    <w:p w:rsidR="009C6DC4" w:rsidRDefault="009C6DC4" w:rsidP="009C6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4" w:rsidRPr="009C6DC4" w:rsidRDefault="009C6DC4" w:rsidP="009C6D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4" w:rsidRPr="009C6DC4" w:rsidRDefault="009C6DC4" w:rsidP="009C6D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DC4" w:rsidRPr="009C6DC4" w:rsidRDefault="009C6DC4" w:rsidP="009C6D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089D"/>
    <w:rsid w:val="00184435"/>
    <w:rsid w:val="001F5844"/>
    <w:rsid w:val="00817EA2"/>
    <w:rsid w:val="008B3750"/>
    <w:rsid w:val="009B5934"/>
    <w:rsid w:val="009C6DC4"/>
    <w:rsid w:val="00A87E65"/>
    <w:rsid w:val="00B242CC"/>
    <w:rsid w:val="00C43F44"/>
    <w:rsid w:val="00E3089D"/>
    <w:rsid w:val="00F61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6DC4"/>
    <w:pPr>
      <w:tabs>
        <w:tab w:val="center" w:pos="4680"/>
        <w:tab w:val="right" w:pos="9360"/>
      </w:tabs>
    </w:pPr>
  </w:style>
  <w:style w:type="character" w:customStyle="1" w:styleId="HeaderChar">
    <w:name w:val="Header Char"/>
    <w:basedOn w:val="DefaultParagraphFont"/>
    <w:link w:val="Header"/>
    <w:uiPriority w:val="99"/>
    <w:semiHidden/>
    <w:rsid w:val="009C6DC4"/>
  </w:style>
  <w:style w:type="paragraph" w:styleId="Footer">
    <w:name w:val="footer"/>
    <w:basedOn w:val="Normal"/>
    <w:link w:val="FooterChar"/>
    <w:uiPriority w:val="99"/>
    <w:semiHidden/>
    <w:unhideWhenUsed/>
    <w:rsid w:val="009C6DC4"/>
    <w:pPr>
      <w:tabs>
        <w:tab w:val="center" w:pos="4680"/>
        <w:tab w:val="right" w:pos="9360"/>
      </w:tabs>
    </w:pPr>
  </w:style>
  <w:style w:type="character" w:customStyle="1" w:styleId="FooterChar">
    <w:name w:val="Footer Char"/>
    <w:basedOn w:val="DefaultParagraphFont"/>
    <w:link w:val="Footer"/>
    <w:uiPriority w:val="99"/>
    <w:semiHidden/>
    <w:rsid w:val="009C6DC4"/>
  </w:style>
  <w:style w:type="paragraph" w:styleId="BalloonText">
    <w:name w:val="Balloon Text"/>
    <w:basedOn w:val="Normal"/>
    <w:link w:val="BalloonTextChar"/>
    <w:uiPriority w:val="99"/>
    <w:semiHidden/>
    <w:unhideWhenUsed/>
    <w:rsid w:val="00E3089D"/>
    <w:rPr>
      <w:rFonts w:ascii="Tahoma" w:hAnsi="Tahoma" w:cs="Tahoma"/>
      <w:sz w:val="16"/>
      <w:szCs w:val="16"/>
    </w:rPr>
  </w:style>
  <w:style w:type="character" w:customStyle="1" w:styleId="BalloonTextChar">
    <w:name w:val="Balloon Text Char"/>
    <w:basedOn w:val="DefaultParagraphFont"/>
    <w:link w:val="BalloonText"/>
    <w:uiPriority w:val="99"/>
    <w:semiHidden/>
    <w:rsid w:val="00E3089D"/>
    <w:rPr>
      <w:rFonts w:ascii="Tahoma" w:hAnsi="Tahoma" w:cs="Tahoma"/>
      <w:sz w:val="16"/>
      <w:szCs w:val="16"/>
    </w:rPr>
  </w:style>
  <w:style w:type="character" w:styleId="Hyperlink">
    <w:name w:val="Hyperlink"/>
    <w:basedOn w:val="DefaultParagraphFont"/>
    <w:semiHidden/>
    <w:rsid w:val="001F58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4617</Words>
  <Characters>26317</Characters>
  <Application>Microsoft Office Word</Application>
  <DocSecurity>0</DocSecurity>
  <Lines>219</Lines>
  <Paragraphs>61</Paragraphs>
  <ScaleCrop>false</ScaleCrop>
  <Company>LPITS</Company>
  <LinksUpToDate>false</LinksUpToDate>
  <CharactersWithSpaces>30873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2009-12-16T15:07:00Z</dcterms:created>
  <dcterms:modified xsi:type="dcterms:W3CDTF">2009-12-23T17:05:00Z</dcterms:modified>
</cp:coreProperties>
</file>