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729" w:rsidRPr="009738F8" w:rsidRDefault="000F2729" w:rsidP="009738F8">
      <w:pPr>
        <w:spacing w:after="0"/>
        <w:jc w:val="center"/>
        <w:rPr>
          <w:sz w:val="22"/>
          <w:szCs w:val="22"/>
        </w:rPr>
      </w:pPr>
      <w:r w:rsidRPr="009738F8">
        <w:rPr>
          <w:sz w:val="22"/>
          <w:szCs w:val="22"/>
        </w:rPr>
        <w:t>DISCLAIMER</w:t>
      </w:r>
    </w:p>
    <w:p w:rsidR="000F2729" w:rsidRPr="009738F8" w:rsidRDefault="000F2729" w:rsidP="009738F8">
      <w:pPr>
        <w:spacing w:after="0"/>
        <w:rPr>
          <w:sz w:val="22"/>
          <w:szCs w:val="22"/>
        </w:rPr>
      </w:pPr>
    </w:p>
    <w:p w:rsidR="000F2729" w:rsidRPr="009738F8" w:rsidRDefault="000F2729" w:rsidP="009738F8">
      <w:pPr>
        <w:spacing w:after="0"/>
        <w:jc w:val="both"/>
        <w:rPr>
          <w:sz w:val="22"/>
          <w:szCs w:val="22"/>
        </w:rPr>
      </w:pPr>
      <w:r w:rsidRPr="009738F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2729" w:rsidRPr="009738F8" w:rsidRDefault="000F2729" w:rsidP="009738F8">
      <w:pPr>
        <w:spacing w:after="0"/>
        <w:rPr>
          <w:sz w:val="22"/>
          <w:szCs w:val="22"/>
        </w:rPr>
      </w:pPr>
    </w:p>
    <w:p w:rsidR="000F2729" w:rsidRPr="009738F8" w:rsidRDefault="000F2729" w:rsidP="009738F8">
      <w:pPr>
        <w:spacing w:after="0"/>
        <w:jc w:val="both"/>
        <w:rPr>
          <w:sz w:val="22"/>
          <w:szCs w:val="22"/>
        </w:rPr>
      </w:pPr>
      <w:r w:rsidRPr="009738F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2729" w:rsidRPr="009738F8" w:rsidRDefault="000F2729" w:rsidP="009738F8">
      <w:pPr>
        <w:spacing w:after="0"/>
        <w:rPr>
          <w:sz w:val="22"/>
          <w:szCs w:val="22"/>
        </w:rPr>
      </w:pPr>
    </w:p>
    <w:p w:rsidR="000F2729" w:rsidRPr="009738F8" w:rsidRDefault="000F2729" w:rsidP="009738F8">
      <w:pPr>
        <w:spacing w:after="0"/>
        <w:jc w:val="both"/>
        <w:rPr>
          <w:sz w:val="22"/>
          <w:szCs w:val="22"/>
        </w:rPr>
      </w:pPr>
      <w:r w:rsidRPr="009738F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2729" w:rsidRPr="009738F8" w:rsidRDefault="000F2729" w:rsidP="009738F8">
      <w:pPr>
        <w:spacing w:after="0"/>
        <w:rPr>
          <w:sz w:val="22"/>
          <w:szCs w:val="22"/>
        </w:rPr>
      </w:pPr>
    </w:p>
    <w:p w:rsidR="000F2729" w:rsidRPr="009738F8" w:rsidRDefault="000F2729" w:rsidP="009738F8">
      <w:pPr>
        <w:spacing w:after="0"/>
        <w:jc w:val="both"/>
        <w:rPr>
          <w:sz w:val="22"/>
          <w:szCs w:val="22"/>
        </w:rPr>
      </w:pPr>
      <w:r w:rsidRPr="009738F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738F8">
          <w:rPr>
            <w:rStyle w:val="Hyperlink"/>
            <w:sz w:val="22"/>
            <w:szCs w:val="22"/>
          </w:rPr>
          <w:t>LPITS@scstatehouse.gov</w:t>
        </w:r>
      </w:hyperlink>
      <w:r w:rsidRPr="009738F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F2729" w:rsidRDefault="000F2729"/>
    <w:p w:rsidR="000F2729" w:rsidRDefault="000F2729">
      <w:pPr>
        <w:widowControl/>
        <w:autoSpaceDE/>
        <w:autoSpaceDN/>
        <w:adjustRightInd/>
        <w:spacing w:after="200" w:line="276" w:lineRule="auto"/>
        <w:rPr>
          <w:color w:val="auto"/>
          <w:sz w:val="22"/>
        </w:rPr>
      </w:pPr>
      <w:r>
        <w:rPr>
          <w:color w:val="auto"/>
          <w:sz w:val="22"/>
        </w:rPr>
        <w:br w:type="page"/>
      </w:r>
    </w:p>
    <w:p w:rsid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86ECA">
        <w:rPr>
          <w:color w:val="auto"/>
          <w:sz w:val="22"/>
        </w:rPr>
        <w:lastRenderedPageBreak/>
        <w:t>CHAPTER 23.</w:t>
      </w: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86ECA"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86ECA">
        <w:rPr>
          <w:color w:val="auto"/>
          <w:sz w:val="22"/>
        </w:rPr>
        <w:t xml:space="preserve"> GRANTS FOR PARKS AND RECREATION</w:t>
      </w:r>
    </w:p>
    <w:p w:rsidR="00086ECA" w:rsidRP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b/>
          <w:color w:val="auto"/>
          <w:sz w:val="22"/>
        </w:rPr>
        <w:t xml:space="preserve">SECTION </w:t>
      </w:r>
      <w:r w:rsidR="00C261B5" w:rsidRPr="00086ECA">
        <w:rPr>
          <w:b/>
          <w:color w:val="auto"/>
          <w:sz w:val="22"/>
        </w:rPr>
        <w:t>51</w:t>
      </w:r>
      <w:r w:rsidRPr="00086ECA">
        <w:rPr>
          <w:b/>
          <w:color w:val="auto"/>
          <w:sz w:val="22"/>
        </w:rPr>
        <w:noBreakHyphen/>
      </w:r>
      <w:r w:rsidR="00C261B5" w:rsidRPr="00086ECA">
        <w:rPr>
          <w:b/>
          <w:color w:val="auto"/>
          <w:sz w:val="22"/>
        </w:rPr>
        <w:t>23</w:t>
      </w:r>
      <w:r w:rsidRPr="00086ECA">
        <w:rPr>
          <w:b/>
          <w:color w:val="auto"/>
          <w:sz w:val="22"/>
        </w:rPr>
        <w:noBreakHyphen/>
      </w:r>
      <w:r w:rsidR="00C261B5" w:rsidRPr="00086ECA">
        <w:rPr>
          <w:b/>
          <w:color w:val="auto"/>
          <w:sz w:val="22"/>
        </w:rPr>
        <w:t>10.</w:t>
      </w:r>
      <w:r w:rsidR="00C261B5" w:rsidRPr="00086ECA">
        <w:rPr>
          <w:color w:val="auto"/>
          <w:sz w:val="22"/>
        </w:rPr>
        <w:t xml:space="preserve"> Definitions. </w:t>
      </w: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1F1F"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For purposes of this chapter: </w:t>
      </w:r>
    </w:p>
    <w:p w:rsidR="00F41F1F"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(1) </w:t>
      </w:r>
      <w:r w:rsidR="00086ECA" w:rsidRPr="00086ECA">
        <w:rPr>
          <w:color w:val="auto"/>
          <w:sz w:val="22"/>
        </w:rPr>
        <w:t>“</w:t>
      </w:r>
      <w:r w:rsidRPr="00086ECA">
        <w:rPr>
          <w:color w:val="auto"/>
          <w:sz w:val="22"/>
        </w:rPr>
        <w:t>County area</w:t>
      </w:r>
      <w:r w:rsidR="00086ECA" w:rsidRPr="00086ECA">
        <w:rPr>
          <w:color w:val="auto"/>
          <w:sz w:val="22"/>
        </w:rPr>
        <w:t>”</w:t>
      </w:r>
      <w:r w:rsidRPr="00086ECA">
        <w:rPr>
          <w:color w:val="auto"/>
          <w:sz w:val="22"/>
        </w:rPr>
        <w:t xml:space="preserve"> means the area included within the geographical boundaries of a county. </w:t>
      </w:r>
    </w:p>
    <w:p w:rsidR="00086ECA"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(2) </w:t>
      </w:r>
      <w:r w:rsidR="00086ECA" w:rsidRPr="00086ECA">
        <w:rPr>
          <w:color w:val="auto"/>
          <w:sz w:val="22"/>
        </w:rPr>
        <w:t>“</w:t>
      </w:r>
      <w:r w:rsidRPr="00086ECA">
        <w:rPr>
          <w:color w:val="auto"/>
          <w:sz w:val="22"/>
        </w:rPr>
        <w:t>Eligible entity</w:t>
      </w:r>
      <w:r w:rsidR="00086ECA" w:rsidRPr="00086ECA">
        <w:rPr>
          <w:color w:val="auto"/>
          <w:sz w:val="22"/>
        </w:rPr>
        <w:t>”</w:t>
      </w:r>
      <w:r w:rsidRPr="00086ECA">
        <w:rPr>
          <w:color w:val="auto"/>
          <w:sz w:val="22"/>
        </w:rPr>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086ECA" w:rsidRPr="00086ECA">
        <w:rPr>
          <w:color w:val="auto"/>
          <w:sz w:val="22"/>
        </w:rPr>
        <w:t>“</w:t>
      </w:r>
      <w:r w:rsidRPr="00086ECA">
        <w:rPr>
          <w:color w:val="auto"/>
          <w:sz w:val="22"/>
        </w:rPr>
        <w:t>eligible entities</w:t>
      </w:r>
      <w:r w:rsidR="00086ECA" w:rsidRPr="00086ECA">
        <w:rPr>
          <w:color w:val="auto"/>
          <w:sz w:val="22"/>
        </w:rPr>
        <w:t>”</w:t>
      </w:r>
      <w:r w:rsidRPr="00086ECA">
        <w:rPr>
          <w:color w:val="auto"/>
          <w:sz w:val="22"/>
        </w:rPr>
        <w:t xml:space="preserve">. </w:t>
      </w:r>
    </w:p>
    <w:p w:rsidR="00086ECA" w:rsidRP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b/>
          <w:color w:val="auto"/>
          <w:sz w:val="22"/>
        </w:rPr>
        <w:t xml:space="preserve">SECTION </w:t>
      </w:r>
      <w:r w:rsidR="00C261B5" w:rsidRPr="00086ECA">
        <w:rPr>
          <w:b/>
          <w:color w:val="auto"/>
          <w:sz w:val="22"/>
        </w:rPr>
        <w:t>51</w:t>
      </w:r>
      <w:r w:rsidRPr="00086ECA">
        <w:rPr>
          <w:b/>
          <w:color w:val="auto"/>
          <w:sz w:val="22"/>
        </w:rPr>
        <w:noBreakHyphen/>
      </w:r>
      <w:r w:rsidR="00C261B5" w:rsidRPr="00086ECA">
        <w:rPr>
          <w:b/>
          <w:color w:val="auto"/>
          <w:sz w:val="22"/>
        </w:rPr>
        <w:t>23</w:t>
      </w:r>
      <w:r w:rsidRPr="00086ECA">
        <w:rPr>
          <w:b/>
          <w:color w:val="auto"/>
          <w:sz w:val="22"/>
        </w:rPr>
        <w:noBreakHyphen/>
      </w:r>
      <w:r w:rsidR="00C261B5" w:rsidRPr="00086ECA">
        <w:rPr>
          <w:b/>
          <w:color w:val="auto"/>
          <w:sz w:val="22"/>
        </w:rPr>
        <w:t>20.</w:t>
      </w:r>
      <w:r w:rsidR="00C261B5" w:rsidRPr="00086ECA">
        <w:rPr>
          <w:color w:val="auto"/>
          <w:sz w:val="22"/>
        </w:rPr>
        <w:t xml:space="preserve"> Allocation of proceeds of Parks and Recreation Fund. </w:t>
      </w: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1F1F"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The proceeds of the Parks and Recreation Development Fund (Fund) established pursuant to </w:t>
      </w:r>
      <w:r w:rsidR="00086ECA" w:rsidRPr="00086ECA">
        <w:rPr>
          <w:color w:val="auto"/>
          <w:sz w:val="22"/>
        </w:rPr>
        <w:t xml:space="preserve">Section </w:t>
      </w:r>
      <w:r w:rsidRPr="00086ECA">
        <w:rPr>
          <w:color w:val="auto"/>
          <w:sz w:val="22"/>
        </w:rPr>
        <w:t>12</w:t>
      </w:r>
      <w:r w:rsidR="00086ECA" w:rsidRPr="00086ECA">
        <w:rPr>
          <w:color w:val="auto"/>
          <w:sz w:val="22"/>
        </w:rPr>
        <w:noBreakHyphen/>
      </w:r>
      <w:r w:rsidRPr="00086ECA">
        <w:rPr>
          <w:color w:val="auto"/>
          <w:sz w:val="22"/>
        </w:rPr>
        <w:t>21</w:t>
      </w:r>
      <w:r w:rsidR="00086ECA" w:rsidRPr="00086ECA">
        <w:rPr>
          <w:color w:val="auto"/>
          <w:sz w:val="22"/>
        </w:rPr>
        <w:noBreakHyphen/>
      </w:r>
      <w:r w:rsidRPr="00086ECA">
        <w:rPr>
          <w:color w:val="auto"/>
          <w:sz w:val="22"/>
        </w:rPr>
        <w:t xml:space="preserve">4200 must be allocated annually as follows: </w:t>
      </w:r>
    </w:p>
    <w:p w:rsidR="00F41F1F"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(1) Twenty thousand dollars must be credited to the account of each county area. </w:t>
      </w:r>
    </w:p>
    <w:p w:rsidR="00F41F1F"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(2) Seventy</w:t>
      </w:r>
      <w:r w:rsidR="00086ECA" w:rsidRPr="00086ECA">
        <w:rPr>
          <w:color w:val="auto"/>
          <w:sz w:val="22"/>
        </w:rPr>
        <w:noBreakHyphen/>
      </w:r>
      <w:r w:rsidRPr="00086ECA">
        <w:rPr>
          <w:color w:val="auto"/>
          <w:sz w:val="22"/>
        </w:rPr>
        <w:t xml:space="preserve">five percent of the remainder of the Fund must be credited to the account of each county area on a per capita basis according to the population estimates for counties prepared annually by the Bureau of the Census and published in </w:t>
      </w:r>
      <w:r w:rsidR="00086ECA" w:rsidRPr="00086ECA">
        <w:rPr>
          <w:color w:val="auto"/>
          <w:sz w:val="22"/>
        </w:rPr>
        <w:t>“</w:t>
      </w:r>
      <w:r w:rsidRPr="00086ECA">
        <w:rPr>
          <w:color w:val="auto"/>
          <w:sz w:val="22"/>
        </w:rPr>
        <w:t>Current Population Reports</w:t>
      </w:r>
      <w:r w:rsidR="00086ECA" w:rsidRPr="00086ECA">
        <w:rPr>
          <w:color w:val="auto"/>
          <w:sz w:val="22"/>
        </w:rPr>
        <w:t>”</w:t>
      </w:r>
      <w:r w:rsidRPr="00086ECA">
        <w:rPr>
          <w:color w:val="auto"/>
          <w:sz w:val="22"/>
        </w:rPr>
        <w:t xml:space="preserve">. </w:t>
      </w:r>
    </w:p>
    <w:p w:rsidR="00086ECA"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(3) The remainder of the Fund must be allocated to the account of the Department of Parks, Recreation and Tourism.  Amounts allocated to individual accounts in the Fund must be distributed as provided in </w:t>
      </w:r>
      <w:r w:rsidR="00086ECA" w:rsidRPr="00086ECA">
        <w:rPr>
          <w:color w:val="auto"/>
          <w:sz w:val="22"/>
        </w:rPr>
        <w:t xml:space="preserve">Sections </w:t>
      </w:r>
      <w:r w:rsidRPr="00086ECA">
        <w:rPr>
          <w:color w:val="auto"/>
          <w:sz w:val="22"/>
        </w:rPr>
        <w:t>51</w:t>
      </w:r>
      <w:r w:rsidR="00086ECA" w:rsidRPr="00086ECA">
        <w:rPr>
          <w:color w:val="auto"/>
          <w:sz w:val="22"/>
        </w:rPr>
        <w:noBreakHyphen/>
      </w:r>
      <w:r w:rsidRPr="00086ECA">
        <w:rPr>
          <w:color w:val="auto"/>
          <w:sz w:val="22"/>
        </w:rPr>
        <w:t>23</w:t>
      </w:r>
      <w:r w:rsidR="00086ECA" w:rsidRPr="00086ECA">
        <w:rPr>
          <w:color w:val="auto"/>
          <w:sz w:val="22"/>
        </w:rPr>
        <w:noBreakHyphen/>
      </w:r>
      <w:r w:rsidRPr="00086ECA">
        <w:rPr>
          <w:color w:val="auto"/>
          <w:sz w:val="22"/>
        </w:rPr>
        <w:t>30 and 51</w:t>
      </w:r>
      <w:r w:rsidR="00086ECA" w:rsidRPr="00086ECA">
        <w:rPr>
          <w:color w:val="auto"/>
          <w:sz w:val="22"/>
        </w:rPr>
        <w:noBreakHyphen/>
      </w:r>
      <w:r w:rsidRPr="00086ECA">
        <w:rPr>
          <w:color w:val="auto"/>
          <w:sz w:val="22"/>
        </w:rPr>
        <w:t>23</w:t>
      </w:r>
      <w:r w:rsidR="00086ECA" w:rsidRPr="00086ECA">
        <w:rPr>
          <w:color w:val="auto"/>
          <w:sz w:val="22"/>
        </w:rPr>
        <w:noBreakHyphen/>
      </w:r>
      <w:r w:rsidRPr="00086ECA">
        <w:rPr>
          <w:color w:val="auto"/>
          <w:sz w:val="22"/>
        </w:rPr>
        <w:t xml:space="preserve">40. </w:t>
      </w:r>
    </w:p>
    <w:p w:rsidR="00086ECA" w:rsidRP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b/>
          <w:color w:val="auto"/>
          <w:sz w:val="22"/>
        </w:rPr>
        <w:t xml:space="preserve">SECTION </w:t>
      </w:r>
      <w:r w:rsidR="00C261B5" w:rsidRPr="00086ECA">
        <w:rPr>
          <w:b/>
          <w:color w:val="auto"/>
          <w:sz w:val="22"/>
        </w:rPr>
        <w:t>51</w:t>
      </w:r>
      <w:r w:rsidRPr="00086ECA">
        <w:rPr>
          <w:b/>
          <w:color w:val="auto"/>
          <w:sz w:val="22"/>
        </w:rPr>
        <w:noBreakHyphen/>
      </w:r>
      <w:r w:rsidR="00C261B5" w:rsidRPr="00086ECA">
        <w:rPr>
          <w:b/>
          <w:color w:val="auto"/>
          <w:sz w:val="22"/>
        </w:rPr>
        <w:t>23</w:t>
      </w:r>
      <w:r w:rsidRPr="00086ECA">
        <w:rPr>
          <w:b/>
          <w:color w:val="auto"/>
          <w:sz w:val="22"/>
        </w:rPr>
        <w:noBreakHyphen/>
      </w:r>
      <w:r w:rsidR="00C261B5" w:rsidRPr="00086ECA">
        <w:rPr>
          <w:b/>
          <w:color w:val="auto"/>
          <w:sz w:val="22"/>
        </w:rPr>
        <w:t>30.</w:t>
      </w:r>
      <w:r w:rsidR="00C261B5" w:rsidRPr="00086ECA">
        <w:rPr>
          <w:color w:val="auto"/>
          <w:sz w:val="22"/>
        </w:rPr>
        <w:t xml:space="preserve"> Grant program for planning, developing, and renovating park and recreation facilities. </w:t>
      </w: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6ECA"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 </w:t>
      </w:r>
    </w:p>
    <w:p w:rsidR="00086ECA" w:rsidRP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b/>
          <w:color w:val="auto"/>
          <w:sz w:val="22"/>
        </w:rPr>
        <w:t xml:space="preserve">SECTION </w:t>
      </w:r>
      <w:r w:rsidR="00C261B5" w:rsidRPr="00086ECA">
        <w:rPr>
          <w:b/>
          <w:color w:val="auto"/>
          <w:sz w:val="22"/>
        </w:rPr>
        <w:t>51</w:t>
      </w:r>
      <w:r w:rsidRPr="00086ECA">
        <w:rPr>
          <w:b/>
          <w:color w:val="auto"/>
          <w:sz w:val="22"/>
        </w:rPr>
        <w:noBreakHyphen/>
      </w:r>
      <w:r w:rsidR="00C261B5" w:rsidRPr="00086ECA">
        <w:rPr>
          <w:b/>
          <w:color w:val="auto"/>
          <w:sz w:val="22"/>
        </w:rPr>
        <w:t>23</w:t>
      </w:r>
      <w:r w:rsidRPr="00086ECA">
        <w:rPr>
          <w:b/>
          <w:color w:val="auto"/>
          <w:sz w:val="22"/>
        </w:rPr>
        <w:noBreakHyphen/>
      </w:r>
      <w:r w:rsidR="00C261B5" w:rsidRPr="00086ECA">
        <w:rPr>
          <w:b/>
          <w:color w:val="auto"/>
          <w:sz w:val="22"/>
        </w:rPr>
        <w:t>40.</w:t>
      </w:r>
      <w:r w:rsidR="00C261B5" w:rsidRPr="00086ECA">
        <w:rPr>
          <w:color w:val="auto"/>
          <w:sz w:val="22"/>
        </w:rPr>
        <w:t xml:space="preserve"> Use of funds for administrative expenses. </w:t>
      </w:r>
    </w:p>
    <w:p w:rsid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6ECA" w:rsidRPr="00086ECA" w:rsidRDefault="00C261B5"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6ECA">
        <w:rPr>
          <w:color w:val="auto"/>
          <w:sz w:val="22"/>
        </w:rPr>
        <w:t xml:space="preserve">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 </w:t>
      </w:r>
    </w:p>
    <w:p w:rsidR="00086ECA" w:rsidRPr="00086ECA" w:rsidRDefault="00086ECA" w:rsidP="00086E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86ECA" w:rsidRPr="00086ECA" w:rsidSect="00086E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F1F" w:rsidRDefault="00C261B5">
      <w:pPr>
        <w:spacing w:after="0"/>
      </w:pPr>
      <w:r>
        <w:separator/>
      </w:r>
    </w:p>
  </w:endnote>
  <w:endnote w:type="continuationSeparator" w:id="0">
    <w:p w:rsidR="00F41F1F" w:rsidRDefault="00C261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CA" w:rsidRPr="00086ECA" w:rsidRDefault="00086ECA" w:rsidP="00086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1F" w:rsidRPr="00086ECA" w:rsidRDefault="00F41F1F" w:rsidP="00086E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CA" w:rsidRPr="00086ECA" w:rsidRDefault="00086ECA" w:rsidP="00086E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F1F" w:rsidRDefault="00C261B5">
      <w:pPr>
        <w:spacing w:after="0"/>
      </w:pPr>
      <w:r>
        <w:separator/>
      </w:r>
    </w:p>
  </w:footnote>
  <w:footnote w:type="continuationSeparator" w:id="0">
    <w:p w:rsidR="00F41F1F" w:rsidRDefault="00C261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CA" w:rsidRPr="00086ECA" w:rsidRDefault="00086ECA" w:rsidP="00086E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CA" w:rsidRPr="00086ECA" w:rsidRDefault="00086ECA" w:rsidP="00086E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CA" w:rsidRPr="00086ECA" w:rsidRDefault="00086ECA" w:rsidP="00086E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1B5"/>
    <w:rsid w:val="00086ECA"/>
    <w:rsid w:val="000A472D"/>
    <w:rsid w:val="000F2729"/>
    <w:rsid w:val="005D602B"/>
    <w:rsid w:val="009738F8"/>
    <w:rsid w:val="00C261B5"/>
    <w:rsid w:val="00D334F3"/>
    <w:rsid w:val="00D82F5F"/>
    <w:rsid w:val="00F41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1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ECA"/>
    <w:pPr>
      <w:tabs>
        <w:tab w:val="center" w:pos="4680"/>
        <w:tab w:val="right" w:pos="9360"/>
      </w:tabs>
    </w:pPr>
  </w:style>
  <w:style w:type="character" w:customStyle="1" w:styleId="HeaderChar">
    <w:name w:val="Header Char"/>
    <w:basedOn w:val="DefaultParagraphFont"/>
    <w:link w:val="Header"/>
    <w:uiPriority w:val="99"/>
    <w:semiHidden/>
    <w:rsid w:val="00086EC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86ECA"/>
    <w:pPr>
      <w:tabs>
        <w:tab w:val="center" w:pos="4680"/>
        <w:tab w:val="right" w:pos="9360"/>
      </w:tabs>
    </w:pPr>
  </w:style>
  <w:style w:type="character" w:customStyle="1" w:styleId="FooterChar">
    <w:name w:val="Footer Char"/>
    <w:basedOn w:val="DefaultParagraphFont"/>
    <w:link w:val="Footer"/>
    <w:uiPriority w:val="99"/>
    <w:semiHidden/>
    <w:rsid w:val="00086ECA"/>
    <w:rPr>
      <w:rFonts w:ascii="Times New Roman" w:hAnsi="Times New Roman" w:cs="Times New Roman"/>
      <w:color w:val="000000"/>
      <w:sz w:val="24"/>
      <w:szCs w:val="24"/>
    </w:rPr>
  </w:style>
  <w:style w:type="character" w:styleId="FootnoteReference">
    <w:name w:val="footnote reference"/>
    <w:basedOn w:val="DefaultParagraphFont"/>
    <w:uiPriority w:val="99"/>
    <w:rsid w:val="00F41F1F"/>
    <w:rPr>
      <w:color w:val="0000FF"/>
      <w:position w:val="6"/>
      <w:sz w:val="20"/>
      <w:szCs w:val="20"/>
    </w:rPr>
  </w:style>
  <w:style w:type="character" w:styleId="Hyperlink">
    <w:name w:val="Hyperlink"/>
    <w:basedOn w:val="DefaultParagraphFont"/>
    <w:semiHidden/>
    <w:rsid w:val="000F27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4198</Characters>
  <Application>Microsoft Office Word</Application>
  <DocSecurity>0</DocSecurity>
  <Lines>34</Lines>
  <Paragraphs>9</Paragraphs>
  <ScaleCrop>false</ScaleCrop>
  <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2009-12-16T15:15:00Z</dcterms:created>
  <dcterms:modified xsi:type="dcterms:W3CDTF">2009-12-23T15:55:00Z</dcterms:modified>
</cp:coreProperties>
</file>