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A1" w:rsidRDefault="00777FA1">
      <w:pPr>
        <w:jc w:val="center"/>
      </w:pPr>
      <w:r>
        <w:t>DISCLAIMER</w:t>
      </w:r>
    </w:p>
    <w:p w:rsidR="00777FA1" w:rsidRDefault="00777FA1"/>
    <w:p w:rsidR="00777FA1" w:rsidRDefault="00777FA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7FA1" w:rsidRDefault="00777FA1"/>
    <w:p w:rsidR="00777FA1" w:rsidRDefault="00777F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FA1" w:rsidRDefault="00777FA1"/>
    <w:p w:rsidR="00777FA1" w:rsidRDefault="00777F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FA1" w:rsidRDefault="00777FA1"/>
    <w:p w:rsidR="00777FA1" w:rsidRDefault="00777F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7FA1" w:rsidRDefault="00777FA1"/>
    <w:p w:rsidR="00777FA1" w:rsidRDefault="00777FA1">
      <w:pPr>
        <w:rPr>
          <w:rFonts w:cs="Times New Roman"/>
        </w:rPr>
      </w:pPr>
      <w:r>
        <w:rPr>
          <w:rFonts w:cs="Times New Roman"/>
        </w:rPr>
        <w:br w:type="page"/>
      </w:r>
    </w:p>
    <w:p w:rsid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EF0">
        <w:rPr>
          <w:rFonts w:cs="Times New Roman"/>
        </w:rPr>
        <w:t>CHAPTER 13.</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EF0">
        <w:rPr>
          <w:rFonts w:cs="Times New Roman"/>
        </w:rPr>
        <w:t xml:space="preserve"> PROVISIONS AFFECTING BRIDGES ONLY</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10.</w:t>
      </w:r>
      <w:r w:rsidR="009F3901" w:rsidRPr="005F4EF0">
        <w:rPr>
          <w:rFonts w:cs="Times New Roman"/>
        </w:rPr>
        <w:t xml:space="preserve"> Commission may cooperate with respect to interstate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20.</w:t>
      </w:r>
      <w:r w:rsidR="009F3901" w:rsidRPr="005F4EF0">
        <w:rPr>
          <w:rFonts w:cs="Times New Roman"/>
        </w:rPr>
        <w:t xml:space="preserve"> Counties may provide funds for interstate bridges;  reimbursement.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Any county may, with the approval of the Commission, provide the funds necessary for participation in the construction, purchase or acquisition of any such bridge as is described in </w:t>
      </w:r>
      <w:r w:rsidR="005F4EF0" w:rsidRPr="005F4EF0">
        <w:rPr>
          <w:rFonts w:cs="Times New Roman"/>
        </w:rPr>
        <w:t xml:space="preserve">Section </w:t>
      </w:r>
      <w:r w:rsidRPr="005F4EF0">
        <w:rPr>
          <w:rFonts w:cs="Times New Roman"/>
        </w:rPr>
        <w:t>57</w:t>
      </w:r>
      <w:r w:rsidR="005F4EF0" w:rsidRPr="005F4EF0">
        <w:rPr>
          <w:rFonts w:cs="Times New Roman"/>
        </w:rPr>
        <w:noBreakHyphen/>
      </w:r>
      <w:r w:rsidRPr="005F4EF0">
        <w:rPr>
          <w:rFonts w:cs="Times New Roman"/>
        </w:rPr>
        <w:t>13</w:t>
      </w:r>
      <w:r w:rsidR="005F4EF0" w:rsidRPr="005F4EF0">
        <w:rPr>
          <w:rFonts w:cs="Times New Roman"/>
        </w:rPr>
        <w:noBreakHyphen/>
      </w:r>
      <w:r w:rsidRPr="005F4EF0">
        <w:rPr>
          <w:rFonts w:cs="Times New Roman"/>
        </w:rPr>
        <w:t xml:space="preserve">10 and shall be entitled to reimbursement therefor under the provisions of Article 1 of Chapter 11 of this Title.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30.</w:t>
      </w:r>
      <w:r w:rsidR="009F3901" w:rsidRPr="005F4EF0">
        <w:rPr>
          <w:rFonts w:cs="Times New Roman"/>
        </w:rPr>
        <w:t xml:space="preserve"> Preceding sections inapplicable to certain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Sections 57</w:t>
      </w:r>
      <w:r w:rsidR="005F4EF0" w:rsidRPr="005F4EF0">
        <w:rPr>
          <w:rFonts w:cs="Times New Roman"/>
        </w:rPr>
        <w:noBreakHyphen/>
      </w:r>
      <w:r w:rsidRPr="005F4EF0">
        <w:rPr>
          <w:rFonts w:cs="Times New Roman"/>
        </w:rPr>
        <w:t>13</w:t>
      </w:r>
      <w:r w:rsidR="005F4EF0" w:rsidRPr="005F4EF0">
        <w:rPr>
          <w:rFonts w:cs="Times New Roman"/>
        </w:rPr>
        <w:noBreakHyphen/>
      </w:r>
      <w:r w:rsidRPr="005F4EF0">
        <w:rPr>
          <w:rFonts w:cs="Times New Roman"/>
        </w:rPr>
        <w:t>10 and 57</w:t>
      </w:r>
      <w:r w:rsidR="005F4EF0" w:rsidRPr="005F4EF0">
        <w:rPr>
          <w:rFonts w:cs="Times New Roman"/>
        </w:rPr>
        <w:noBreakHyphen/>
      </w:r>
      <w:r w:rsidRPr="005F4EF0">
        <w:rPr>
          <w:rFonts w:cs="Times New Roman"/>
        </w:rPr>
        <w:t>13</w:t>
      </w:r>
      <w:r w:rsidR="005F4EF0" w:rsidRPr="005F4EF0">
        <w:rPr>
          <w:rFonts w:cs="Times New Roman"/>
        </w:rPr>
        <w:noBreakHyphen/>
      </w:r>
      <w:r w:rsidRPr="005F4EF0">
        <w:rPr>
          <w:rFonts w:cs="Times New Roman"/>
        </w:rPr>
        <w:t xml:space="preserve">20 shall not apply to any bridge or crossing which does not constitute the terminus of a highway in the State highway system.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40.</w:t>
      </w:r>
      <w:r w:rsidR="009F3901" w:rsidRPr="005F4EF0">
        <w:rPr>
          <w:rFonts w:cs="Times New Roman"/>
        </w:rPr>
        <w:t xml:space="preserve"> Commission may grant permits for toll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50.</w:t>
      </w:r>
      <w:r w:rsidR="009F3901" w:rsidRPr="005F4EF0">
        <w:rPr>
          <w:rFonts w:cs="Times New Roman"/>
        </w:rPr>
        <w:t xml:space="preserve"> Public notice before issue of permit for toll bridge.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No permit shall be issued by the Commission under the authority of </w:t>
      </w:r>
      <w:r w:rsidR="005F4EF0" w:rsidRPr="005F4EF0">
        <w:rPr>
          <w:rFonts w:cs="Times New Roman"/>
        </w:rPr>
        <w:t xml:space="preserve">Section </w:t>
      </w:r>
      <w:r w:rsidRPr="005F4EF0">
        <w:rPr>
          <w:rFonts w:cs="Times New Roman"/>
        </w:rPr>
        <w:t>57</w:t>
      </w:r>
      <w:r w:rsidR="005F4EF0" w:rsidRPr="005F4EF0">
        <w:rPr>
          <w:rFonts w:cs="Times New Roman"/>
        </w:rPr>
        <w:noBreakHyphen/>
      </w:r>
      <w:r w:rsidRPr="005F4EF0">
        <w:rPr>
          <w:rFonts w:cs="Times New Roman"/>
        </w:rPr>
        <w:t>13</w:t>
      </w:r>
      <w:r w:rsidR="005F4EF0" w:rsidRPr="005F4EF0">
        <w:rPr>
          <w:rFonts w:cs="Times New Roman"/>
        </w:rPr>
        <w:noBreakHyphen/>
      </w:r>
      <w:r w:rsidRPr="005F4EF0">
        <w:rPr>
          <w:rFonts w:cs="Times New Roman"/>
        </w:rPr>
        <w:t xml:space="preserve">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60.</w:t>
      </w:r>
      <w:r w:rsidR="009F3901" w:rsidRPr="005F4EF0">
        <w:rPr>
          <w:rFonts w:cs="Times New Roman"/>
        </w:rPr>
        <w:t xml:space="preserve"> Duties of county governing bodies with respect to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5F4EF0" w:rsidRPr="005F4EF0">
        <w:rPr>
          <w:rFonts w:cs="Times New Roman"/>
        </w:rPr>
        <w:t>’</w:t>
      </w:r>
      <w:r w:rsidRPr="005F4EF0">
        <w:rPr>
          <w:rFonts w:cs="Times New Roman"/>
        </w:rPr>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70.</w:t>
      </w:r>
      <w:r w:rsidR="009F3901" w:rsidRPr="005F4EF0">
        <w:rPr>
          <w:rFonts w:cs="Times New Roman"/>
        </w:rPr>
        <w:t xml:space="preserve"> Expenses of bridges over waters between two counties.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5F4EF0" w:rsidRPr="005F4EF0">
        <w:rPr>
          <w:rFonts w:cs="Times New Roman"/>
        </w:rPr>
        <w:t xml:space="preserve">Section </w:t>
      </w:r>
      <w:r w:rsidRPr="005F4EF0">
        <w:rPr>
          <w:rFonts w:cs="Times New Roman"/>
        </w:rPr>
        <w:t>57</w:t>
      </w:r>
      <w:r w:rsidR="005F4EF0" w:rsidRPr="005F4EF0">
        <w:rPr>
          <w:rFonts w:cs="Times New Roman"/>
        </w:rPr>
        <w:noBreakHyphen/>
      </w:r>
      <w:r w:rsidRPr="005F4EF0">
        <w:rPr>
          <w:rFonts w:cs="Times New Roman"/>
        </w:rPr>
        <w:t>13</w:t>
      </w:r>
      <w:r w:rsidR="005F4EF0" w:rsidRPr="005F4EF0">
        <w:rPr>
          <w:rFonts w:cs="Times New Roman"/>
        </w:rPr>
        <w:noBreakHyphen/>
      </w:r>
      <w:r w:rsidRPr="005F4EF0">
        <w:rPr>
          <w:rFonts w:cs="Times New Roman"/>
        </w:rPr>
        <w:t xml:space="preserve">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80.</w:t>
      </w:r>
      <w:r w:rsidR="009F3901" w:rsidRPr="005F4EF0">
        <w:rPr>
          <w:rFonts w:cs="Times New Roman"/>
        </w:rPr>
        <w:t xml:space="preserve"> Formation of bridge districts by counties.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Any two or more counties of this State desiring to construct a bridge or bridges across any of the streams of the State, whether contiguous to such counties or not, may enter into a combination and form a bridge district.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90.</w:t>
      </w:r>
      <w:r w:rsidR="009F3901" w:rsidRPr="005F4EF0">
        <w:rPr>
          <w:rFonts w:cs="Times New Roman"/>
        </w:rPr>
        <w:t xml:space="preserve"> Width of bridges on State highways.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100.</w:t>
      </w:r>
      <w:r w:rsidR="009F3901" w:rsidRPr="005F4EF0">
        <w:rPr>
          <w:rFonts w:cs="Times New Roman"/>
        </w:rPr>
        <w:t xml:space="preserve"> Contracts for work on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 </w:t>
      </w: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110.</w:t>
      </w:r>
      <w:r w:rsidR="009F3901" w:rsidRPr="005F4EF0">
        <w:rPr>
          <w:rFonts w:cs="Times New Roman"/>
        </w:rPr>
        <w:t xml:space="preserve"> Wanton or wilful injury to or destruction of bridges.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120.</w:t>
      </w:r>
      <w:r w:rsidR="009F3901" w:rsidRPr="005F4EF0">
        <w:rPr>
          <w:rFonts w:cs="Times New Roman"/>
        </w:rPr>
        <w:t xml:space="preserve"> Owners of milldams and bridges shall keep them in repair.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b/>
        </w:rPr>
        <w:t xml:space="preserve">SECTION </w:t>
      </w:r>
      <w:r w:rsidR="009F3901" w:rsidRPr="005F4EF0">
        <w:rPr>
          <w:rFonts w:cs="Times New Roman"/>
          <w:b/>
        </w:rPr>
        <w:t>57</w:t>
      </w:r>
      <w:r w:rsidRPr="005F4EF0">
        <w:rPr>
          <w:rFonts w:cs="Times New Roman"/>
          <w:b/>
        </w:rPr>
        <w:noBreakHyphen/>
      </w:r>
      <w:r w:rsidR="009F3901" w:rsidRPr="005F4EF0">
        <w:rPr>
          <w:rFonts w:cs="Times New Roman"/>
          <w:b/>
        </w:rPr>
        <w:t>13</w:t>
      </w:r>
      <w:r w:rsidRPr="005F4EF0">
        <w:rPr>
          <w:rFonts w:cs="Times New Roman"/>
          <w:b/>
        </w:rPr>
        <w:noBreakHyphen/>
      </w:r>
      <w:r w:rsidR="009F3901" w:rsidRPr="005F4EF0">
        <w:rPr>
          <w:rFonts w:cs="Times New Roman"/>
          <w:b/>
        </w:rPr>
        <w:t>130.</w:t>
      </w:r>
      <w:r w:rsidR="009F3901" w:rsidRPr="005F4EF0">
        <w:rPr>
          <w:rFonts w:cs="Times New Roman"/>
        </w:rPr>
        <w:t xml:space="preserve"> Preservation of certain covered bridges;  limitations on use;  damage claims. </w:t>
      </w:r>
    </w:p>
    <w:p w:rsid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Department of Transportation is authorized to maintain and preserve the following covered bridges with the necessary connections with the state highway system: </w:t>
      </w: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Old Lower Gassaway Bridge off State Road 137 in Pickens County. </w:t>
      </w: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Prathers Bridge over the Tugaloo River on State Road 160 between Oconee County and the State of Georgia. </w:t>
      </w: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The bridge over Long Crane Creek on State Road 36 about three and one</w:t>
      </w:r>
      <w:r w:rsidR="005F4EF0" w:rsidRPr="005F4EF0">
        <w:rPr>
          <w:rFonts w:cs="Times New Roman"/>
        </w:rPr>
        <w:noBreakHyphen/>
      </w:r>
      <w:r w:rsidRPr="005F4EF0">
        <w:rPr>
          <w:rFonts w:cs="Times New Roman"/>
        </w:rPr>
        <w:t xml:space="preserve">half miles west of Troy in McCormick County. </w:t>
      </w: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department may negotiate with the appropriate officials of the State of Georgia for the joint preservation and maintenance of the Prathers Bridge. </w:t>
      </w:r>
    </w:p>
    <w:p w:rsidR="009F3901"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department may limit the use of the bridges described herein to pedestrian traffic. </w:t>
      </w:r>
    </w:p>
    <w:p w:rsidR="005F4EF0" w:rsidRPr="005F4EF0" w:rsidRDefault="009F3901"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EF0">
        <w:rPr>
          <w:rFonts w:cs="Times New Roman"/>
        </w:rPr>
        <w:t xml:space="preserve">The provisions of Article 13, Chapter 5, Title 57 shall not apply to the maintenance of the bridges described in this section. </w:t>
      </w:r>
    </w:p>
    <w:p w:rsidR="005F4EF0" w:rsidRPr="005F4EF0" w:rsidRDefault="005F4EF0"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4EF0" w:rsidRDefault="00184435" w:rsidP="005F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4EF0" w:rsidSect="005F4E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EF0" w:rsidRDefault="005F4EF0" w:rsidP="005F4EF0">
      <w:r>
        <w:separator/>
      </w:r>
    </w:p>
  </w:endnote>
  <w:endnote w:type="continuationSeparator" w:id="0">
    <w:p w:rsidR="005F4EF0" w:rsidRDefault="005F4EF0" w:rsidP="005F4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EF0" w:rsidRDefault="005F4EF0" w:rsidP="005F4EF0">
      <w:r>
        <w:separator/>
      </w:r>
    </w:p>
  </w:footnote>
  <w:footnote w:type="continuationSeparator" w:id="0">
    <w:p w:rsidR="005F4EF0" w:rsidRDefault="005F4EF0" w:rsidP="005F4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F0" w:rsidRPr="005F4EF0" w:rsidRDefault="005F4EF0" w:rsidP="005F4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3901"/>
    <w:rsid w:val="00184435"/>
    <w:rsid w:val="003A55ED"/>
    <w:rsid w:val="005F4EF0"/>
    <w:rsid w:val="00777FA1"/>
    <w:rsid w:val="00817EA2"/>
    <w:rsid w:val="009F3901"/>
    <w:rsid w:val="00B242CC"/>
    <w:rsid w:val="00B6289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EF0"/>
    <w:pPr>
      <w:tabs>
        <w:tab w:val="center" w:pos="4680"/>
        <w:tab w:val="right" w:pos="9360"/>
      </w:tabs>
    </w:pPr>
  </w:style>
  <w:style w:type="character" w:customStyle="1" w:styleId="HeaderChar">
    <w:name w:val="Header Char"/>
    <w:basedOn w:val="DefaultParagraphFont"/>
    <w:link w:val="Header"/>
    <w:uiPriority w:val="99"/>
    <w:semiHidden/>
    <w:rsid w:val="005F4EF0"/>
  </w:style>
  <w:style w:type="paragraph" w:styleId="Footer">
    <w:name w:val="footer"/>
    <w:basedOn w:val="Normal"/>
    <w:link w:val="FooterChar"/>
    <w:uiPriority w:val="99"/>
    <w:semiHidden/>
    <w:unhideWhenUsed/>
    <w:rsid w:val="005F4EF0"/>
    <w:pPr>
      <w:tabs>
        <w:tab w:val="center" w:pos="4680"/>
        <w:tab w:val="right" w:pos="9360"/>
      </w:tabs>
    </w:pPr>
  </w:style>
  <w:style w:type="character" w:customStyle="1" w:styleId="FooterChar">
    <w:name w:val="Footer Char"/>
    <w:basedOn w:val="DefaultParagraphFont"/>
    <w:link w:val="Footer"/>
    <w:uiPriority w:val="99"/>
    <w:semiHidden/>
    <w:rsid w:val="005F4EF0"/>
  </w:style>
  <w:style w:type="paragraph" w:styleId="BalloonText">
    <w:name w:val="Balloon Text"/>
    <w:basedOn w:val="Normal"/>
    <w:link w:val="BalloonTextChar"/>
    <w:uiPriority w:val="99"/>
    <w:semiHidden/>
    <w:unhideWhenUsed/>
    <w:rsid w:val="009F3901"/>
    <w:rPr>
      <w:rFonts w:ascii="Tahoma" w:hAnsi="Tahoma" w:cs="Tahoma"/>
      <w:sz w:val="16"/>
      <w:szCs w:val="16"/>
    </w:rPr>
  </w:style>
  <w:style w:type="character" w:customStyle="1" w:styleId="BalloonTextChar">
    <w:name w:val="Balloon Text Char"/>
    <w:basedOn w:val="DefaultParagraphFont"/>
    <w:link w:val="BalloonText"/>
    <w:uiPriority w:val="99"/>
    <w:semiHidden/>
    <w:rsid w:val="009F3901"/>
    <w:rPr>
      <w:rFonts w:ascii="Tahoma" w:hAnsi="Tahoma" w:cs="Tahoma"/>
      <w:sz w:val="16"/>
      <w:szCs w:val="16"/>
    </w:rPr>
  </w:style>
  <w:style w:type="character" w:styleId="Hyperlink">
    <w:name w:val="Hyperlink"/>
    <w:basedOn w:val="DefaultParagraphFont"/>
    <w:semiHidden/>
    <w:rsid w:val="00777F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9137</Characters>
  <Application>Microsoft Office Word</Application>
  <DocSecurity>0</DocSecurity>
  <Lines>76</Lines>
  <Paragraphs>21</Paragraphs>
  <ScaleCrop>false</ScaleCrop>
  <Company>LPITS</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