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4D6" w:rsidRDefault="004304D6">
      <w:pPr>
        <w:jc w:val="center"/>
      </w:pPr>
      <w:r>
        <w:t>DISCLAIMER</w:t>
      </w:r>
    </w:p>
    <w:p w:rsidR="004304D6" w:rsidRDefault="004304D6"/>
    <w:p w:rsidR="004304D6" w:rsidRDefault="004304D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304D6" w:rsidRDefault="004304D6"/>
    <w:p w:rsidR="004304D6" w:rsidRDefault="004304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04D6" w:rsidRDefault="004304D6"/>
    <w:p w:rsidR="004304D6" w:rsidRDefault="004304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04D6" w:rsidRDefault="004304D6"/>
    <w:p w:rsidR="004304D6" w:rsidRDefault="004304D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304D6" w:rsidRDefault="004304D6"/>
    <w:p w:rsidR="004304D6" w:rsidRDefault="004304D6">
      <w:pPr>
        <w:rPr>
          <w:rFonts w:cs="Times New Roman"/>
        </w:rPr>
      </w:pPr>
      <w:r>
        <w:rPr>
          <w:rFonts w:cs="Times New Roman"/>
        </w:rPr>
        <w:br w:type="page"/>
      </w:r>
    </w:p>
    <w:p w:rsid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6BA8">
        <w:rPr>
          <w:rFonts w:cs="Times New Roman"/>
        </w:rPr>
        <w:t>CHAPTER 22.</w:t>
      </w: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304D6"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6BA8">
        <w:rPr>
          <w:rFonts w:cs="Times New Roman"/>
        </w:rPr>
        <w:t xml:space="preserve"> COIN</w:t>
      </w:r>
      <w:r w:rsidR="00356BA8" w:rsidRPr="00356BA8">
        <w:rPr>
          <w:rFonts w:cs="Times New Roman"/>
        </w:rPr>
        <w:noBreakHyphen/>
      </w:r>
      <w:r w:rsidRPr="00356BA8">
        <w:rPr>
          <w:rFonts w:cs="Times New Roman"/>
        </w:rPr>
        <w:t>OPERATED MACHINES AND OTHER DEVICES</w:t>
      </w:r>
    </w:p>
    <w:p w:rsidR="004304D6" w:rsidRDefault="004304D6"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96075" w:rsidRPr="00356BA8">
        <w:rPr>
          <w:rFonts w:cs="Times New Roman"/>
        </w:rPr>
        <w:t>1.</w:t>
      </w: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304D6"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6BA8">
        <w:rPr>
          <w:rFonts w:cs="Times New Roman"/>
        </w:rPr>
        <w:t xml:space="preserve"> GENERAL PROVISIONS</w:t>
      </w:r>
    </w:p>
    <w:p w:rsidR="004304D6" w:rsidRDefault="004304D6"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b/>
        </w:rPr>
        <w:t xml:space="preserve">SECTION </w:t>
      </w:r>
      <w:r w:rsidR="00496075" w:rsidRPr="00356BA8">
        <w:rPr>
          <w:rFonts w:cs="Times New Roman"/>
          <w:b/>
        </w:rPr>
        <w:t>12</w:t>
      </w:r>
      <w:r w:rsidRPr="00356BA8">
        <w:rPr>
          <w:rFonts w:cs="Times New Roman"/>
          <w:b/>
        </w:rPr>
        <w:noBreakHyphen/>
      </w:r>
      <w:r w:rsidR="00496075" w:rsidRPr="00356BA8">
        <w:rPr>
          <w:rFonts w:cs="Times New Roman"/>
          <w:b/>
        </w:rPr>
        <w:t>22</w:t>
      </w:r>
      <w:r w:rsidRPr="00356BA8">
        <w:rPr>
          <w:rFonts w:cs="Times New Roman"/>
          <w:b/>
        </w:rPr>
        <w:noBreakHyphen/>
      </w:r>
      <w:r w:rsidR="00496075" w:rsidRPr="00356BA8">
        <w:rPr>
          <w:rFonts w:cs="Times New Roman"/>
          <w:b/>
        </w:rPr>
        <w:t>10.</w:t>
      </w:r>
      <w:r w:rsidR="00496075" w:rsidRPr="00356BA8">
        <w:rPr>
          <w:rFonts w:cs="Times New Roman"/>
        </w:rPr>
        <w:t xml:space="preserve"> Definitions. </w:t>
      </w: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[Only subsections (19) and (22) of this section, as found in 1999, Act No. 125,</w:t>
      </w:r>
      <w:r w:rsidR="00356BA8" w:rsidRPr="00356BA8">
        <w:rPr>
          <w:rFonts w:cs="Times New Roman"/>
        </w:rPr>
        <w:t xml:space="preserve">Section </w:t>
      </w:r>
      <w:r w:rsidRPr="00356BA8">
        <w:rPr>
          <w:rFonts w:cs="Times New Roman"/>
        </w:rPr>
        <w:t>10, took effect June 1, 1999.   See Editor</w:t>
      </w:r>
      <w:r w:rsidR="00356BA8" w:rsidRPr="00356BA8">
        <w:rPr>
          <w:rFonts w:cs="Times New Roman"/>
        </w:rPr>
        <w:t>’</w:t>
      </w:r>
      <w:r w:rsidRPr="00356BA8">
        <w:rPr>
          <w:rFonts w:cs="Times New Roman"/>
        </w:rPr>
        <w:t xml:space="preserve">s Note at the beginning of this chapter.]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lastRenderedPageBreak/>
        <w:t xml:space="preserve">(19) </w:t>
      </w:r>
      <w:r w:rsidR="00356BA8" w:rsidRPr="00356BA8">
        <w:rPr>
          <w:rFonts w:cs="Times New Roman"/>
        </w:rPr>
        <w:t>“</w:t>
      </w:r>
      <w:r w:rsidRPr="00356BA8">
        <w:rPr>
          <w:rFonts w:cs="Times New Roman"/>
        </w:rPr>
        <w:t>Person</w:t>
      </w:r>
      <w:r w:rsidR="00356BA8" w:rsidRPr="00356BA8">
        <w:rPr>
          <w:rFonts w:cs="Times New Roman"/>
        </w:rPr>
        <w:t>”</w:t>
      </w:r>
      <w:r w:rsidRPr="00356BA8">
        <w:rPr>
          <w:rFonts w:cs="Times New Roman"/>
        </w:rPr>
        <w:t xml:space="preserve"> means any individual, partnership, corporation, association, entity, or organization of any type.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(22)(a) </w:t>
      </w:r>
      <w:r w:rsidR="00356BA8" w:rsidRPr="00356BA8">
        <w:rPr>
          <w:rFonts w:cs="Times New Roman"/>
        </w:rPr>
        <w:t>“</w:t>
      </w:r>
      <w:r w:rsidRPr="00356BA8">
        <w:rPr>
          <w:rFonts w:cs="Times New Roman"/>
        </w:rPr>
        <w:t>Principal</w:t>
      </w:r>
      <w:r w:rsidR="00356BA8" w:rsidRPr="00356BA8">
        <w:rPr>
          <w:rFonts w:cs="Times New Roman"/>
        </w:rPr>
        <w:t>”</w:t>
      </w:r>
      <w:r w:rsidRPr="00356BA8">
        <w:rPr>
          <w:rFonts w:cs="Times New Roman"/>
        </w:rPr>
        <w:t xml:space="preserve"> means: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(i) every person;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(ii) an association;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(iii) all partners of a partnership, limited partnership, or limited liability partnership;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(iv) all members of a limited liability company, or if the company is a manager</w:t>
      </w:r>
      <w:r w:rsidR="00356BA8" w:rsidRPr="00356BA8">
        <w:rPr>
          <w:rFonts w:cs="Times New Roman"/>
        </w:rPr>
        <w:noBreakHyphen/>
      </w:r>
      <w:r w:rsidRPr="00356BA8">
        <w:rPr>
          <w:rFonts w:cs="Times New Roman"/>
        </w:rPr>
        <w:t xml:space="preserve">managed company, all members and managers;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(v) trust and its beneficiaries;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(vi) corporation, its directors, officers, and stockholders with a ten percent or more direct or beneficial interest or any person or entity that receives more than ten percent of the net income;  or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(vii) an employee who has day</w:t>
      </w:r>
      <w:r w:rsidR="00356BA8" w:rsidRPr="00356BA8">
        <w:rPr>
          <w:rFonts w:cs="Times New Roman"/>
        </w:rPr>
        <w:noBreakHyphen/>
      </w:r>
      <w:r w:rsidRPr="00356BA8">
        <w:rPr>
          <w:rFonts w:cs="Times New Roman"/>
        </w:rPr>
        <w:t>to</w:t>
      </w:r>
      <w:r w:rsidR="00356BA8" w:rsidRPr="00356BA8">
        <w:rPr>
          <w:rFonts w:cs="Times New Roman"/>
        </w:rPr>
        <w:noBreakHyphen/>
      </w:r>
      <w:r w:rsidRPr="00356BA8">
        <w:rPr>
          <w:rFonts w:cs="Times New Roman"/>
        </w:rPr>
        <w:t xml:space="preserve">day operational management responsibilities for the business or entity;  which has or will have a direct or indirect ownership interest in a machine or machines, a manufacturer, a machine owner, distributor, a machine operator or the establishment for which the applicant seeks a new or renewal license.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(b) </w:t>
      </w:r>
      <w:r w:rsidR="00356BA8" w:rsidRPr="00356BA8">
        <w:rPr>
          <w:rFonts w:cs="Times New Roman"/>
        </w:rPr>
        <w:t>“</w:t>
      </w:r>
      <w:r w:rsidRPr="00356BA8">
        <w:rPr>
          <w:rFonts w:cs="Times New Roman"/>
        </w:rPr>
        <w:t>Indirect ownership interest</w:t>
      </w:r>
      <w:r w:rsidR="00356BA8" w:rsidRPr="00356BA8">
        <w:rPr>
          <w:rFonts w:cs="Times New Roman"/>
        </w:rPr>
        <w:t>”</w:t>
      </w:r>
      <w:r w:rsidRPr="00356BA8">
        <w:rPr>
          <w:rFonts w:cs="Times New Roman"/>
        </w:rPr>
        <w:t xml:space="preserve"> includes, but is not limited to, a loan or extension of credit or forgiving of a loan of ten thousand dollars or more, made to or for the benefit of an applicant or licensee.  Indirect ownership interest</w:t>
      </w:r>
      <w:r w:rsidR="00356BA8" w:rsidRPr="00356BA8">
        <w:rPr>
          <w:rFonts w:cs="Times New Roman"/>
        </w:rPr>
        <w:t>’</w:t>
      </w:r>
      <w:r w:rsidRPr="00356BA8">
        <w:rPr>
          <w:rFonts w:cs="Times New Roman"/>
        </w:rPr>
        <w:t xml:space="preserve"> does not include a loan or extension of credit made by a state or federally chartered financial institution or a restricted or supervised lender licensed under South Carolina law.  Multiple loans of less than ten thousand dollars may not be used to evade the requirements of this chapter and such activity is grounds for revocation of any and all licenses issued pursuant to Section 12</w:t>
      </w:r>
      <w:r w:rsidR="00356BA8" w:rsidRPr="00356BA8">
        <w:rPr>
          <w:rFonts w:cs="Times New Roman"/>
        </w:rPr>
        <w:noBreakHyphen/>
      </w:r>
      <w:r w:rsidRPr="00356BA8">
        <w:rPr>
          <w:rFonts w:cs="Times New Roman"/>
        </w:rPr>
        <w:t>22</w:t>
      </w:r>
      <w:r w:rsidR="00356BA8" w:rsidRPr="00356BA8">
        <w:rPr>
          <w:rFonts w:cs="Times New Roman"/>
        </w:rPr>
        <w:noBreakHyphen/>
      </w:r>
      <w:r w:rsidRPr="00356BA8">
        <w:rPr>
          <w:rFonts w:cs="Times New Roman"/>
        </w:rPr>
        <w:t xml:space="preserve">320 held by the applicant.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(c) If a corporation is a member of a controlled group of corporations, as defined in 26 U.S.C. 1563, or a member of an affiliated group of corporations, as defined in 26 U.S.C. 1504, and at least one member of the group of corporations is a publicly</w:t>
      </w:r>
      <w:r w:rsidR="00356BA8" w:rsidRPr="00356BA8">
        <w:rPr>
          <w:rFonts w:cs="Times New Roman"/>
        </w:rPr>
        <w:noBreakHyphen/>
      </w:r>
      <w:r w:rsidRPr="00356BA8">
        <w:rPr>
          <w:rFonts w:cs="Times New Roman"/>
        </w:rPr>
        <w:t xml:space="preserve">held corporation, then only the corporation which engages in the business or activity required to be licensed pursuant to this chapter is considered a principal for purposes of this chapter, along with its directors, officers, and stockholders as described in subitem (a)(vi).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(d) For purposes of item (c) of this subsection, </w:t>
      </w:r>
      <w:r w:rsidR="00356BA8" w:rsidRPr="00356BA8">
        <w:rPr>
          <w:rFonts w:cs="Times New Roman"/>
        </w:rPr>
        <w:t>“</w:t>
      </w:r>
      <w:r w:rsidRPr="00356BA8">
        <w:rPr>
          <w:rFonts w:cs="Times New Roman"/>
        </w:rPr>
        <w:t>publicly held corporation</w:t>
      </w:r>
      <w:r w:rsidR="00356BA8" w:rsidRPr="00356BA8">
        <w:rPr>
          <w:rFonts w:cs="Times New Roman"/>
        </w:rPr>
        <w:t>”</w:t>
      </w:r>
      <w:r w:rsidRPr="00356BA8">
        <w:rPr>
          <w:rFonts w:cs="Times New Roman"/>
        </w:rPr>
        <w:t xml:space="preserve"> means a corporation: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(i) whose shares are traded on a national exchange;  and </w:t>
      </w:r>
    </w:p>
    <w:p w:rsidR="004304D6"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(ii) whose total assets at the end of the corporation</w:t>
      </w:r>
      <w:r w:rsidR="00356BA8" w:rsidRPr="00356BA8">
        <w:rPr>
          <w:rFonts w:cs="Times New Roman"/>
        </w:rPr>
        <w:t>’</w:t>
      </w:r>
      <w:r w:rsidRPr="00356BA8">
        <w:rPr>
          <w:rFonts w:cs="Times New Roman"/>
        </w:rPr>
        <w:t xml:space="preserve">s most recent fiscal quarter exceeded one billion dollars. </w:t>
      </w:r>
    </w:p>
    <w:p w:rsidR="004304D6" w:rsidRDefault="004304D6"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96075" w:rsidRPr="00356BA8">
        <w:rPr>
          <w:rFonts w:cs="Times New Roman"/>
        </w:rPr>
        <w:t>3.</w:t>
      </w: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304D6"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6BA8">
        <w:rPr>
          <w:rFonts w:cs="Times New Roman"/>
        </w:rPr>
        <w:t xml:space="preserve"> LICENSURE</w:t>
      </w:r>
    </w:p>
    <w:p w:rsidR="004304D6" w:rsidRDefault="004304D6"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96075" w:rsidRPr="00356BA8">
        <w:rPr>
          <w:rFonts w:cs="Times New Roman"/>
        </w:rPr>
        <w:t>5.</w:t>
      </w: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304D6"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6BA8">
        <w:rPr>
          <w:rFonts w:cs="Times New Roman"/>
        </w:rPr>
        <w:t xml:space="preserve"> IMPOSITION OF TAX ON NET MACHINE INCOME</w:t>
      </w:r>
    </w:p>
    <w:p w:rsidR="004304D6" w:rsidRDefault="004304D6"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96075" w:rsidRPr="00356BA8">
        <w:rPr>
          <w:rFonts w:cs="Times New Roman"/>
        </w:rPr>
        <w:t>7.</w:t>
      </w: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304D6"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6BA8">
        <w:rPr>
          <w:rFonts w:cs="Times New Roman"/>
        </w:rPr>
        <w:t xml:space="preserve"> LOCATION RESTRICTIONS, PUBLIC NOTICE, AND SIGNAGE</w:t>
      </w:r>
    </w:p>
    <w:p w:rsidR="004304D6" w:rsidRDefault="004304D6"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b/>
        </w:rPr>
        <w:t xml:space="preserve">SECTION </w:t>
      </w:r>
      <w:r w:rsidR="00496075" w:rsidRPr="00356BA8">
        <w:rPr>
          <w:rFonts w:cs="Times New Roman"/>
          <w:b/>
        </w:rPr>
        <w:t>12</w:t>
      </w:r>
      <w:r w:rsidRPr="00356BA8">
        <w:rPr>
          <w:rFonts w:cs="Times New Roman"/>
          <w:b/>
        </w:rPr>
        <w:noBreakHyphen/>
      </w:r>
      <w:r w:rsidR="00496075" w:rsidRPr="00356BA8">
        <w:rPr>
          <w:rFonts w:cs="Times New Roman"/>
          <w:b/>
        </w:rPr>
        <w:t>22</w:t>
      </w:r>
      <w:r w:rsidRPr="00356BA8">
        <w:rPr>
          <w:rFonts w:cs="Times New Roman"/>
          <w:b/>
        </w:rPr>
        <w:noBreakHyphen/>
      </w:r>
      <w:r w:rsidR="00496075" w:rsidRPr="00356BA8">
        <w:rPr>
          <w:rFonts w:cs="Times New Roman"/>
          <w:b/>
        </w:rPr>
        <w:t>730.</w:t>
      </w:r>
      <w:r w:rsidR="00496075" w:rsidRPr="00356BA8">
        <w:rPr>
          <w:rFonts w:cs="Times New Roman"/>
        </w:rPr>
        <w:t xml:space="preserve"> Regulations. </w:t>
      </w: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4D6"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The department must issue regulations to strictly enforce the provisions of this chapter so as to prevent the licensure of an establishment or establishments that would allow machine operators to circumvent the prohibition against more than five machines being located on any premises.   Nothing in this section, and the terms as they are defined in this chapter, shall be construed to be unenforceable because of the pendency of, or the failure to issue, any regulations by the department.   This chapter must be liberally construed to supercede any regulation in existence after the effective date of this act that would impede the department in any way from strictly enforcing the provisions of this chapter regarding the prohibition against more than five machines being licensed on the same premises. </w:t>
      </w:r>
    </w:p>
    <w:p w:rsidR="004304D6" w:rsidRDefault="004304D6"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b/>
        </w:rPr>
        <w:t xml:space="preserve">SECTION </w:t>
      </w:r>
      <w:r w:rsidR="00496075" w:rsidRPr="00356BA8">
        <w:rPr>
          <w:rFonts w:cs="Times New Roman"/>
          <w:b/>
        </w:rPr>
        <w:t>12</w:t>
      </w:r>
      <w:r w:rsidRPr="00356BA8">
        <w:rPr>
          <w:rFonts w:cs="Times New Roman"/>
          <w:b/>
        </w:rPr>
        <w:noBreakHyphen/>
      </w:r>
      <w:r w:rsidR="00496075" w:rsidRPr="00356BA8">
        <w:rPr>
          <w:rFonts w:cs="Times New Roman"/>
          <w:b/>
        </w:rPr>
        <w:t>22</w:t>
      </w:r>
      <w:r w:rsidRPr="00356BA8">
        <w:rPr>
          <w:rFonts w:cs="Times New Roman"/>
          <w:b/>
        </w:rPr>
        <w:noBreakHyphen/>
      </w:r>
      <w:r w:rsidR="00496075" w:rsidRPr="00356BA8">
        <w:rPr>
          <w:rFonts w:cs="Times New Roman"/>
          <w:b/>
        </w:rPr>
        <w:t>740.</w:t>
      </w:r>
      <w:r w:rsidR="00496075" w:rsidRPr="00356BA8">
        <w:rPr>
          <w:rFonts w:cs="Times New Roman"/>
        </w:rPr>
        <w:t xml:space="preserve"> Machines prohibited at casinos. </w:t>
      </w: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(A)(1) Except as provided in subsection (B), machines shall not be operated or continue to operate at any casino.  For purposes of this chapter, the term </w:t>
      </w:r>
      <w:r w:rsidR="00356BA8" w:rsidRPr="00356BA8">
        <w:rPr>
          <w:rFonts w:cs="Times New Roman"/>
        </w:rPr>
        <w:t>“</w:t>
      </w:r>
      <w:r w:rsidRPr="00356BA8">
        <w:rPr>
          <w:rFonts w:cs="Times New Roman"/>
        </w:rPr>
        <w:t>casino</w:t>
      </w:r>
      <w:r w:rsidR="00356BA8" w:rsidRPr="00356BA8">
        <w:rPr>
          <w:rFonts w:cs="Times New Roman"/>
        </w:rPr>
        <w:t>”</w:t>
      </w:r>
      <w:r w:rsidRPr="00356BA8">
        <w:rPr>
          <w:rFonts w:cs="Times New Roman"/>
        </w:rPr>
        <w:t xml:space="preserve"> shall mean both of the following: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(a) any two or more </w:t>
      </w:r>
      <w:r w:rsidR="00356BA8" w:rsidRPr="00356BA8">
        <w:rPr>
          <w:rFonts w:cs="Times New Roman"/>
        </w:rPr>
        <w:t>“</w:t>
      </w:r>
      <w:r w:rsidRPr="00356BA8">
        <w:rPr>
          <w:rFonts w:cs="Times New Roman"/>
        </w:rPr>
        <w:t>single places or premises</w:t>
      </w:r>
      <w:r w:rsidR="00356BA8" w:rsidRPr="00356BA8">
        <w:rPr>
          <w:rFonts w:cs="Times New Roman"/>
        </w:rPr>
        <w:t>”</w:t>
      </w:r>
      <w:r w:rsidRPr="00356BA8">
        <w:rPr>
          <w:rFonts w:cs="Times New Roman"/>
        </w:rPr>
        <w:t>, as that term was defined, applied, and interpreted in Regulation 117</w:t>
      </w:r>
      <w:r w:rsidR="00356BA8" w:rsidRPr="00356BA8">
        <w:rPr>
          <w:rFonts w:cs="Times New Roman"/>
        </w:rPr>
        <w:noBreakHyphen/>
      </w:r>
      <w:r w:rsidRPr="00356BA8">
        <w:rPr>
          <w:rFonts w:cs="Times New Roman"/>
        </w:rPr>
        <w:t xml:space="preserve">190 on or before May 31, 1999, that are located within a single structure;  and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(b) beginning December 1, 1999, any two or more establishments located within one hundred feet of each other that have establishment licenses issued to the same person or a person who has the same principals.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(2) In determining whether an establishment violates this section, the department shall consider whether more than one licensed establishment operates within a single structure, unless the distance between the licensed establishments exceeds one hundred feet and the licensed establishments are not owned by the same person, do not have any of the same principals, and the owner of one is not a principal of another licensed establishment.  Licenses denied under this section are subject to review under Section 12</w:t>
      </w:r>
      <w:r w:rsidR="00356BA8" w:rsidRPr="00356BA8">
        <w:rPr>
          <w:rFonts w:cs="Times New Roman"/>
        </w:rPr>
        <w:noBreakHyphen/>
      </w:r>
      <w:r w:rsidRPr="00356BA8">
        <w:rPr>
          <w:rFonts w:cs="Times New Roman"/>
        </w:rPr>
        <w:t>60</w:t>
      </w:r>
      <w:r w:rsidR="00356BA8" w:rsidRPr="00356BA8">
        <w:rPr>
          <w:rFonts w:cs="Times New Roman"/>
        </w:rPr>
        <w:noBreakHyphen/>
      </w:r>
      <w:r w:rsidRPr="00356BA8">
        <w:rPr>
          <w:rFonts w:cs="Times New Roman"/>
        </w:rPr>
        <w:t xml:space="preserve">1310.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(B)(1) A casino shall not operate or continue to operate except as provided in this subsection.  No casino shall continue to operate as a casino unless on May 31, 1999: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(a) machines were both licensed and in operation within each </w:t>
      </w:r>
      <w:r w:rsidR="00356BA8" w:rsidRPr="00356BA8">
        <w:rPr>
          <w:rFonts w:cs="Times New Roman"/>
        </w:rPr>
        <w:t>“</w:t>
      </w:r>
      <w:r w:rsidRPr="00356BA8">
        <w:rPr>
          <w:rFonts w:cs="Times New Roman"/>
        </w:rPr>
        <w:t>single place or premises</w:t>
      </w:r>
      <w:r w:rsidR="00356BA8" w:rsidRPr="00356BA8">
        <w:rPr>
          <w:rFonts w:cs="Times New Roman"/>
        </w:rPr>
        <w:t>”</w:t>
      </w:r>
      <w:r w:rsidRPr="00356BA8">
        <w:rPr>
          <w:rFonts w:cs="Times New Roman"/>
        </w:rPr>
        <w:t xml:space="preserve"> as that term was defined, applied, and interpreted in Regulation 117</w:t>
      </w:r>
      <w:r w:rsidR="00356BA8" w:rsidRPr="00356BA8">
        <w:rPr>
          <w:rFonts w:cs="Times New Roman"/>
        </w:rPr>
        <w:noBreakHyphen/>
      </w:r>
      <w:r w:rsidRPr="00356BA8">
        <w:rPr>
          <w:rFonts w:cs="Times New Roman"/>
        </w:rPr>
        <w:t xml:space="preserve">190 on or before May 31, 1999;  and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(b) each single place or premises within the casino met the qualifications of Regulation 117</w:t>
      </w:r>
      <w:r w:rsidR="00356BA8" w:rsidRPr="00356BA8">
        <w:rPr>
          <w:rFonts w:cs="Times New Roman"/>
        </w:rPr>
        <w:noBreakHyphen/>
      </w:r>
      <w:r w:rsidRPr="00356BA8">
        <w:rPr>
          <w:rFonts w:cs="Times New Roman"/>
        </w:rPr>
        <w:t xml:space="preserve">190 and a certificate of occupancy, if otherwise required by law, has been issued for the structure within which two or more single places or premises are located.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(2) After December 1, 1999, each casino authorized to operate after May 31, 1999, shall be permitted to re</w:t>
      </w:r>
      <w:r w:rsidR="00356BA8" w:rsidRPr="00356BA8">
        <w:rPr>
          <w:rFonts w:cs="Times New Roman"/>
        </w:rPr>
        <w:noBreakHyphen/>
      </w:r>
      <w:r w:rsidRPr="00356BA8">
        <w:rPr>
          <w:rFonts w:cs="Times New Roman"/>
        </w:rPr>
        <w:t xml:space="preserve">apply for and may be granted renewal of licenses that, notwithstanding any other provision of the law, must expire and may not be renewed after July 1, 2004.  Pursuant to Sections 1, 9, and 11 of Article V, the General Assembly provides that the Magistrate, Circuit and Appellate Courts do not have jurisdiction to extend the termination date of July 1, 2004, and may not enjoin the enforcement of this subsection by the department or the division.  Nothing in this subsection shall be construed to affect the jurisdiction of the state courts regarding other provisions of this chapter.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(3)(a) After July 1, 2004, casinos may continue to operate within a county if the county governing body, prior to July 1, 2004, adopts an ordinance authorizing the operation of casinos.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(b) An ordinance adopted pursuant to this item may not authorize the operation of a casino if the casino was not in operation on May 31, 1999.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(4) If the provisions of item (3) are declared unconstitutional by a final order of a court of competent jurisdiction, then the provisions of Section 12</w:t>
      </w:r>
      <w:r w:rsidR="00356BA8" w:rsidRPr="00356BA8">
        <w:rPr>
          <w:rFonts w:cs="Times New Roman"/>
        </w:rPr>
        <w:noBreakHyphen/>
      </w:r>
      <w:r w:rsidRPr="00356BA8">
        <w:rPr>
          <w:rFonts w:cs="Times New Roman"/>
        </w:rPr>
        <w:t>22</w:t>
      </w:r>
      <w:r w:rsidR="00356BA8" w:rsidRPr="00356BA8">
        <w:rPr>
          <w:rFonts w:cs="Times New Roman"/>
        </w:rPr>
        <w:noBreakHyphen/>
      </w:r>
      <w:r w:rsidRPr="00356BA8">
        <w:rPr>
          <w:rFonts w:cs="Times New Roman"/>
        </w:rPr>
        <w:t xml:space="preserve">710(A)(1) shall apply in the entire state.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(C) All casinos authorized to operate after May 31, 1999: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(1) on or before January 1, 2000, conduct business as a single operation and be licensed as a single licensed establishment to maintain on the premises more than five licensed machines;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(2) advise the department of the machine licenses currently issued and the licenses currently issued for each single place or premises within the structure and return the licenses for each single place or premises to the department at the time the new license for the single licensed establishment is approved by the department and issued;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(3) once licensed as a single establishment, never have licenses for any number of machines greater than the total number of machines licensed in the structure as of May 31, 1999, as asserted in the statement required in item (5);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(4) never increase the number of machines permitted by this section after any reduction in the number of machines at the licensed establishment;  provided, that a reduction, as that term is used in this subsection, does not include the routine removal and replacement of machines for maintenance, repair, service, or similar purpose;  and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(5) on or before January 1, 2000, file with the department a sworn statement asserting any and all reasons why it is entitled to the benefits conferred by this subsection (B). </w:t>
      </w:r>
    </w:p>
    <w:p w:rsidR="004304D6"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(D) Any person claiming the benefits of subsection (B) shall have the burden of proof and must establish by clear and convincing evidence that he is entitled to operate the structure as a single licensed establishment with more than five licensed machines.  Any transferee of an interest in such an establishment shall be subject to all limitations of this section. </w:t>
      </w:r>
    </w:p>
    <w:p w:rsidR="004304D6" w:rsidRDefault="004304D6"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96075" w:rsidRPr="00356BA8">
        <w:rPr>
          <w:rFonts w:cs="Times New Roman"/>
        </w:rPr>
        <w:t>9.</w:t>
      </w: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304D6"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6BA8">
        <w:rPr>
          <w:rFonts w:cs="Times New Roman"/>
        </w:rPr>
        <w:t xml:space="preserve"> MACHINE REQUIREMENTS</w:t>
      </w:r>
    </w:p>
    <w:p w:rsidR="004304D6" w:rsidRDefault="004304D6"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b/>
        </w:rPr>
        <w:t xml:space="preserve">SECTION </w:t>
      </w:r>
      <w:r w:rsidR="00496075" w:rsidRPr="00356BA8">
        <w:rPr>
          <w:rFonts w:cs="Times New Roman"/>
          <w:b/>
        </w:rPr>
        <w:t>12</w:t>
      </w:r>
      <w:r w:rsidRPr="00356BA8">
        <w:rPr>
          <w:rFonts w:cs="Times New Roman"/>
          <w:b/>
        </w:rPr>
        <w:noBreakHyphen/>
      </w:r>
      <w:r w:rsidR="00496075" w:rsidRPr="00356BA8">
        <w:rPr>
          <w:rFonts w:cs="Times New Roman"/>
          <w:b/>
        </w:rPr>
        <w:t>22</w:t>
      </w:r>
      <w:r w:rsidRPr="00356BA8">
        <w:rPr>
          <w:rFonts w:cs="Times New Roman"/>
          <w:b/>
        </w:rPr>
        <w:noBreakHyphen/>
      </w:r>
      <w:r w:rsidR="00496075" w:rsidRPr="00356BA8">
        <w:rPr>
          <w:rFonts w:cs="Times New Roman"/>
          <w:b/>
        </w:rPr>
        <w:t>910.</w:t>
      </w:r>
      <w:r w:rsidR="00496075" w:rsidRPr="00356BA8">
        <w:rPr>
          <w:rFonts w:cs="Times New Roman"/>
        </w:rPr>
        <w:t xml:space="preserve"> Machine license required. </w:t>
      </w: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(A) Before a machine may be connected or remain connected to the central computer monitoring system, the machine must have a current and valid machine license.  The machine owner and machine operator, and the establishment at which the machine is located must have current and valid licenses as required by this chapter.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(B) Each machine or device licensed pursuant to this chapter must be operated in a stand</w:t>
      </w:r>
      <w:r w:rsidR="00356BA8" w:rsidRPr="00356BA8">
        <w:rPr>
          <w:rFonts w:cs="Times New Roman"/>
        </w:rPr>
        <w:noBreakHyphen/>
      </w:r>
      <w:r w:rsidRPr="00356BA8">
        <w:rPr>
          <w:rFonts w:cs="Times New Roman"/>
        </w:rPr>
        <w:t xml:space="preserve">alone fashion and may not be linked in any way to another machine, except as otherwise provided in this chapter. </w:t>
      </w:r>
    </w:p>
    <w:p w:rsidR="004304D6"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(C) Any machine which is not connected to the central computer monitoring system after February 1, 2000, shall be considered to be illegal and a contraband machine. </w:t>
      </w:r>
    </w:p>
    <w:p w:rsidR="004304D6" w:rsidRDefault="004304D6"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b/>
        </w:rPr>
        <w:t xml:space="preserve">SECTION </w:t>
      </w:r>
      <w:r w:rsidR="00496075" w:rsidRPr="00356BA8">
        <w:rPr>
          <w:rFonts w:cs="Times New Roman"/>
          <w:b/>
        </w:rPr>
        <w:t>12</w:t>
      </w:r>
      <w:r w:rsidRPr="00356BA8">
        <w:rPr>
          <w:rFonts w:cs="Times New Roman"/>
          <w:b/>
        </w:rPr>
        <w:noBreakHyphen/>
      </w:r>
      <w:r w:rsidR="00496075" w:rsidRPr="00356BA8">
        <w:rPr>
          <w:rFonts w:cs="Times New Roman"/>
          <w:b/>
        </w:rPr>
        <w:t>22</w:t>
      </w:r>
      <w:r w:rsidRPr="00356BA8">
        <w:rPr>
          <w:rFonts w:cs="Times New Roman"/>
          <w:b/>
        </w:rPr>
        <w:noBreakHyphen/>
      </w:r>
      <w:r w:rsidR="00496075" w:rsidRPr="00356BA8">
        <w:rPr>
          <w:rFonts w:cs="Times New Roman"/>
          <w:b/>
        </w:rPr>
        <w:t>920.</w:t>
      </w:r>
      <w:r w:rsidR="00496075" w:rsidRPr="00356BA8">
        <w:rPr>
          <w:rFonts w:cs="Times New Roman"/>
        </w:rPr>
        <w:t xml:space="preserve"> Types of machines and equipment permitted. </w:t>
      </w: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(A) All machines, location controllers and associated modems, and computer chips must be verifiably of a make, model, and software version certified by the department or a testing lab selected by the department before the items may be possessed, owned, operated, or allowed to operate at any place within this State. </w:t>
      </w:r>
    </w:p>
    <w:p w:rsidR="004304D6"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(B) A person may not possess, own, operate, or allow the operation of a contraband machine or device at any place within this State. </w:t>
      </w:r>
    </w:p>
    <w:p w:rsidR="004304D6" w:rsidRDefault="004304D6"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b/>
        </w:rPr>
        <w:t xml:space="preserve">SECTION </w:t>
      </w:r>
      <w:r w:rsidR="00496075" w:rsidRPr="00356BA8">
        <w:rPr>
          <w:rFonts w:cs="Times New Roman"/>
          <w:b/>
        </w:rPr>
        <w:t>12</w:t>
      </w:r>
      <w:r w:rsidRPr="00356BA8">
        <w:rPr>
          <w:rFonts w:cs="Times New Roman"/>
          <w:b/>
        </w:rPr>
        <w:noBreakHyphen/>
      </w:r>
      <w:r w:rsidR="00496075" w:rsidRPr="00356BA8">
        <w:rPr>
          <w:rFonts w:cs="Times New Roman"/>
          <w:b/>
        </w:rPr>
        <w:t>22</w:t>
      </w:r>
      <w:r w:rsidRPr="00356BA8">
        <w:rPr>
          <w:rFonts w:cs="Times New Roman"/>
          <w:b/>
        </w:rPr>
        <w:noBreakHyphen/>
      </w:r>
      <w:r w:rsidR="00496075" w:rsidRPr="00356BA8">
        <w:rPr>
          <w:rFonts w:cs="Times New Roman"/>
          <w:b/>
        </w:rPr>
        <w:t>930.</w:t>
      </w:r>
      <w:r w:rsidR="00496075" w:rsidRPr="00356BA8">
        <w:rPr>
          <w:rFonts w:cs="Times New Roman"/>
        </w:rPr>
        <w:t xml:space="preserve"> Requirements for machine licensure. </w:t>
      </w: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(A) Not later than December 1, 1999: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(1) each machine must meet standards provided in subsection (B) of this section and the machine owner shall certify to the department, under oath and in a form prescribed by the department, that the machines are prepared for connection to the central computer monitoring system;  or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(2) each machine owner must certify to the department, under oath and in a form prescribed by the department, that he has ordered all location controllers and associated modems, computer chips, associated equipment, software, hardware, and any other equipment required by this chapter in order for his machines to be connected to the central computer monitoring system.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(B) Not later than December 1, 1999, and subject to the provisions of subsection (A)(2), all machines and equipment must: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(1) have games that are random and have a minimum theoretical payback of between ninety percent and ninety</w:t>
      </w:r>
      <w:r w:rsidR="00356BA8" w:rsidRPr="00356BA8">
        <w:rPr>
          <w:rFonts w:cs="Times New Roman"/>
        </w:rPr>
        <w:noBreakHyphen/>
      </w:r>
      <w:r w:rsidRPr="00356BA8">
        <w:rPr>
          <w:rFonts w:cs="Times New Roman"/>
        </w:rPr>
        <w:t xml:space="preserve">nine percent, within standard rounding, in which the theoretical payback percentage is determined using standard methods of probability theory at optimal play;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(2) be secure and accountable;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(3) not operate in a misleading or deceptive manner;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(4) not have any means of manipulation that affect the random probabilities of winning a game;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(5) have one or more mechanisms that accept only coins or cash in the form of bills.  The mechanisms must be designed to prevent obtaining credits without paying by stringing, slamming, drilling, or other means;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(6) have one or more metering devices that keep a record of (a) all cash inserted or deposited into the machine;  (b) credits played, (c) credits won, (d) validated cash ticket amounts, and (e) other information prescribed by the department.  Cash records must include total coins and bills accepted and total credit generated by coin and bill acceptors;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(7) be capable of being accessed on demand by telecommunication through a location controller from the central computer monitoring system for purposes of polling or reading device activities and for central computer remote enabling or disabling of machine operations;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(8) be capable of interfacing with a central computer monitoring system through a location controller;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(9) when required by the department after certification, be connected to the central computer monitoring system through a location controller;  and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(10) meet the standards set by the department and those set forth in this chapter.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(C)(1) Machines not meeting the standards of this chapter, or the standards of the department, shall not be licensed.  The license of any machine which fails to maintain the standards of this chapter shall be revoked.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(2) The department shall connect licensed machines at licensed establishments meeting the requirements of this section to the central computer monitoring system as soon as is practicable after receipt of certification from the machine owner that a machine meets the standards of this section, no later than February 1, 2000.  A machine owner who provides the certification provided in subsection(A) may provide payouts as provided in Section 12</w:t>
      </w:r>
      <w:r w:rsidR="00356BA8" w:rsidRPr="00356BA8">
        <w:rPr>
          <w:rFonts w:cs="Times New Roman"/>
        </w:rPr>
        <w:noBreakHyphen/>
      </w:r>
      <w:r w:rsidRPr="00356BA8">
        <w:rPr>
          <w:rFonts w:cs="Times New Roman"/>
        </w:rPr>
        <w:t>22</w:t>
      </w:r>
      <w:r w:rsidR="00356BA8" w:rsidRPr="00356BA8">
        <w:rPr>
          <w:rFonts w:cs="Times New Roman"/>
        </w:rPr>
        <w:noBreakHyphen/>
      </w:r>
      <w:r w:rsidRPr="00356BA8">
        <w:rPr>
          <w:rFonts w:cs="Times New Roman"/>
        </w:rPr>
        <w:t xml:space="preserve">1020 beginning on December 1, 1999.  A machine owner who provides the certification provided in subsection (A)(2) shall provide the certification provided in subsection (A)(1) by February 1, 2000;  if the certification is not provided on that date, the machine shall be disabled and the machine owner shall be subject to the penalties provided in this chapter. </w:t>
      </w:r>
    </w:p>
    <w:p w:rsidR="004304D6"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(D) When the department approves the software and logic board of a machine, the division must require the use of a prescribed security seal process to guard against any unauthorized tampering or changes to the erasable programmable read only memory (EPROM) chip or chips, or future, similar such technology.  Any repair, replacement, or adjustment to the machine</w:t>
      </w:r>
      <w:r w:rsidR="00356BA8" w:rsidRPr="00356BA8">
        <w:rPr>
          <w:rFonts w:cs="Times New Roman"/>
        </w:rPr>
        <w:t>’</w:t>
      </w:r>
      <w:r w:rsidRPr="00356BA8">
        <w:rPr>
          <w:rFonts w:cs="Times New Roman"/>
        </w:rPr>
        <w:t xml:space="preserve">s EPROM chips or similar such technology must be done in the presence of an employee of the division. </w:t>
      </w:r>
    </w:p>
    <w:p w:rsidR="004304D6" w:rsidRDefault="004304D6"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b/>
        </w:rPr>
        <w:t xml:space="preserve">SECTION </w:t>
      </w:r>
      <w:r w:rsidR="00496075" w:rsidRPr="00356BA8">
        <w:rPr>
          <w:rFonts w:cs="Times New Roman"/>
          <w:b/>
        </w:rPr>
        <w:t>12</w:t>
      </w:r>
      <w:r w:rsidRPr="00356BA8">
        <w:rPr>
          <w:rFonts w:cs="Times New Roman"/>
          <w:b/>
        </w:rPr>
        <w:noBreakHyphen/>
      </w:r>
      <w:r w:rsidR="00496075" w:rsidRPr="00356BA8">
        <w:rPr>
          <w:rFonts w:cs="Times New Roman"/>
          <w:b/>
        </w:rPr>
        <w:t>22</w:t>
      </w:r>
      <w:r w:rsidRPr="00356BA8">
        <w:rPr>
          <w:rFonts w:cs="Times New Roman"/>
          <w:b/>
        </w:rPr>
        <w:noBreakHyphen/>
      </w:r>
      <w:r w:rsidR="00496075" w:rsidRPr="00356BA8">
        <w:rPr>
          <w:rFonts w:cs="Times New Roman"/>
          <w:b/>
        </w:rPr>
        <w:t>940.</w:t>
      </w:r>
      <w:r w:rsidR="00496075" w:rsidRPr="00356BA8">
        <w:rPr>
          <w:rFonts w:cs="Times New Roman"/>
        </w:rPr>
        <w:t xml:space="preserve"> Location controllers and modems. </w:t>
      </w: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(A) As part of the central computer monitoring system, each establishment operating machines must provide a location controller and modem meeting department requirements.  Each location controller must be capable of receiving, storing, and transmitting to the central computer monitoring system all information received from and required of machines.   Each location controller shall be capable of supporting at least five machines.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(B) This section applies to those location controllers which participate in the system as separate hardware entities and any head of string location controller which meets the specifications of this section.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(C) The cost for purchasing, leasing, and installing, the location controller is the responsibility of the licensed establishment in which the machines are located.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(D) Each location controller must be able to perform the following functions: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(1) communicate with machines in an on</w:t>
      </w:r>
      <w:r w:rsidR="00356BA8" w:rsidRPr="00356BA8">
        <w:rPr>
          <w:rFonts w:cs="Times New Roman"/>
        </w:rPr>
        <w:noBreakHyphen/>
      </w:r>
      <w:r w:rsidRPr="00356BA8">
        <w:rPr>
          <w:rFonts w:cs="Times New Roman"/>
        </w:rPr>
        <w:t xml:space="preserve">line environment;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(2) store log entries of openings of machine game doors;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(3) store log entries of openings of machine coin or currency doors;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(4) authorize a machine to be taken off</w:t>
      </w:r>
      <w:r w:rsidR="00356BA8" w:rsidRPr="00356BA8">
        <w:rPr>
          <w:rFonts w:cs="Times New Roman"/>
        </w:rPr>
        <w:noBreakHyphen/>
      </w:r>
      <w:r w:rsidRPr="00356BA8">
        <w:rPr>
          <w:rFonts w:cs="Times New Roman"/>
        </w:rPr>
        <w:t xml:space="preserve">line from the location controller and store a log of this event;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(5) disable a machine and store a log entry upon a game door open, and a coin door open;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(6) store a log entry if machine is off</w:t>
      </w:r>
      <w:r w:rsidR="00356BA8" w:rsidRPr="00356BA8">
        <w:rPr>
          <w:rFonts w:cs="Times New Roman"/>
        </w:rPr>
        <w:noBreakHyphen/>
      </w:r>
      <w:r w:rsidRPr="00356BA8">
        <w:rPr>
          <w:rFonts w:cs="Times New Roman"/>
        </w:rPr>
        <w:t xml:space="preserve">line from the location controller;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(7) store a log entry for machine tampering if the signal received from the machine is discontinuous or corrupted in such a manner as to constitute more than spurious noise in the system;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(8) store a log entry of reenabling a machine that has been disabled;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(9) log entries which include a VGMID for each machine and date/time stamp;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(10) communicate to the central computer system the information which has been gathered from the machines and any log entries stored during the period using a protocol provided by the department or designated agent;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(11) have sufficient storage capacity to maintain at least five days of data generated from the maximum playing sessions from the maximum number of associated machines linked to the location controller.  The data must be stored immediately in a manner that allows, on demand, real time access by the central computer monitoring system.  Access to data stored in the location controller must be restricted to authorized entry from the central computer monitoring system and other authorized inquiry only access that has been preapproved by the department;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(12) have an internal clock;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(13) be protected from unauthorized interference or tampering by any person or external device or force, such as to corrupt or alter data or corrupt or suspend communication signals or transmitted data from the machines or to the central computer monitoring system.  This requirement extends to the location controller as well as its associated communication device, and cabling between the controller, the machines, and communication device;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(14) be constructed of materials and protected in such a manner as to allow it to operate in suboptimal environments such as nonregulated temperature, dusty, tobacco</w:t>
      </w:r>
      <w:r w:rsidR="00356BA8" w:rsidRPr="00356BA8">
        <w:rPr>
          <w:rFonts w:cs="Times New Roman"/>
        </w:rPr>
        <w:noBreakHyphen/>
      </w:r>
      <w:r w:rsidRPr="00356BA8">
        <w:rPr>
          <w:rFonts w:cs="Times New Roman"/>
        </w:rPr>
        <w:t xml:space="preserve">smoke filled, and humid conditions.  Locations using a location controller that is not constructed so as to operate in these environments and that fail to operate properly are not allowed to operate machines until the location controller is repaired or replaced so as to operate in such a suboptimal environment;  and </w:t>
      </w:r>
    </w:p>
    <w:p w:rsidR="004304D6"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(15) be capable of validating tickets printed by a machine. </w:t>
      </w:r>
    </w:p>
    <w:p w:rsidR="004304D6" w:rsidRDefault="004304D6"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b/>
        </w:rPr>
        <w:t xml:space="preserve">SECTION </w:t>
      </w:r>
      <w:r w:rsidR="00496075" w:rsidRPr="00356BA8">
        <w:rPr>
          <w:rFonts w:cs="Times New Roman"/>
          <w:b/>
        </w:rPr>
        <w:t>12</w:t>
      </w:r>
      <w:r w:rsidRPr="00356BA8">
        <w:rPr>
          <w:rFonts w:cs="Times New Roman"/>
          <w:b/>
        </w:rPr>
        <w:noBreakHyphen/>
      </w:r>
      <w:r w:rsidR="00496075" w:rsidRPr="00356BA8">
        <w:rPr>
          <w:rFonts w:cs="Times New Roman"/>
          <w:b/>
        </w:rPr>
        <w:t>22</w:t>
      </w:r>
      <w:r w:rsidRPr="00356BA8">
        <w:rPr>
          <w:rFonts w:cs="Times New Roman"/>
          <w:b/>
        </w:rPr>
        <w:noBreakHyphen/>
      </w:r>
      <w:r w:rsidR="00496075" w:rsidRPr="00356BA8">
        <w:rPr>
          <w:rFonts w:cs="Times New Roman"/>
          <w:b/>
        </w:rPr>
        <w:t>950.</w:t>
      </w:r>
      <w:r w:rsidR="00496075" w:rsidRPr="00356BA8">
        <w:rPr>
          <w:rFonts w:cs="Times New Roman"/>
        </w:rPr>
        <w:t xml:space="preserve"> Standards for machines and related equipment. </w:t>
      </w: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4D6"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The department may set standards for machines, modems, location controllers, the central computer monitoring system, and associated equipment including, but not limited to, technical standards, hardware specifications, software specifications, and standards relating to multiplayer units.  Applicants must meet these standards before any license may be issued.  The department may revise technical standards as is necessary providing sufficient time for compliance by licensees.  The technical standards established by the department must, to the extent possible, within the limitation of this chapter, maximize competition among manufacturers. </w:t>
      </w:r>
    </w:p>
    <w:p w:rsidR="004304D6" w:rsidRDefault="004304D6"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b/>
        </w:rPr>
        <w:t xml:space="preserve">SECTION </w:t>
      </w:r>
      <w:r w:rsidR="00496075" w:rsidRPr="00356BA8">
        <w:rPr>
          <w:rFonts w:cs="Times New Roman"/>
          <w:b/>
        </w:rPr>
        <w:t>12</w:t>
      </w:r>
      <w:r w:rsidRPr="00356BA8">
        <w:rPr>
          <w:rFonts w:cs="Times New Roman"/>
          <w:b/>
        </w:rPr>
        <w:noBreakHyphen/>
      </w:r>
      <w:r w:rsidR="00496075" w:rsidRPr="00356BA8">
        <w:rPr>
          <w:rFonts w:cs="Times New Roman"/>
          <w:b/>
        </w:rPr>
        <w:t>22</w:t>
      </w:r>
      <w:r w:rsidRPr="00356BA8">
        <w:rPr>
          <w:rFonts w:cs="Times New Roman"/>
          <w:b/>
        </w:rPr>
        <w:noBreakHyphen/>
      </w:r>
      <w:r w:rsidR="00496075" w:rsidRPr="00356BA8">
        <w:rPr>
          <w:rFonts w:cs="Times New Roman"/>
          <w:b/>
        </w:rPr>
        <w:t>960.</w:t>
      </w:r>
      <w:r w:rsidR="00496075" w:rsidRPr="00356BA8">
        <w:rPr>
          <w:rFonts w:cs="Times New Roman"/>
        </w:rPr>
        <w:t xml:space="preserve"> Burden of proof. </w:t>
      </w: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4D6"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The burden of proof that a machine, game, location controller, modem, or any part of a machine meets the required standards and requirements is the responsibility of the manufacturer or machine owner.  The department may require the manufacturer or machine owner to obtain a certification from an approved laboratory indicating that the machine, game, location controller, modem, or any part of a machine meets the required standards and requirements.  The cost of this certification is the responsibility of the manufacturer or machine owner.  The department shall provide a list of approved laboratories.  The department may also review a laboratory to determine if the laboratory should be added or removed from the department</w:t>
      </w:r>
      <w:r w:rsidR="00356BA8" w:rsidRPr="00356BA8">
        <w:rPr>
          <w:rFonts w:cs="Times New Roman"/>
        </w:rPr>
        <w:t>’</w:t>
      </w:r>
      <w:r w:rsidRPr="00356BA8">
        <w:rPr>
          <w:rFonts w:cs="Times New Roman"/>
        </w:rPr>
        <w:t xml:space="preserve">s list of approved laboratories.  The department may contract with a testing laboratory to ensure and certify that a machine, game, location controller, modem, or any part of a machine meets the required standards and requirements.  The department may also establish a state testing laboratory.   Payment of the cost of testing by the laboratory is the responsibility of the manufacturer or machine owner.  Approval of the machine by the department is prima facie evidence that the machine meets the required standards and requirements. </w:t>
      </w:r>
    </w:p>
    <w:p w:rsidR="004304D6" w:rsidRDefault="004304D6"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b/>
        </w:rPr>
        <w:t xml:space="preserve">SECTION </w:t>
      </w:r>
      <w:r w:rsidR="00496075" w:rsidRPr="00356BA8">
        <w:rPr>
          <w:rFonts w:cs="Times New Roman"/>
          <w:b/>
        </w:rPr>
        <w:t>12</w:t>
      </w:r>
      <w:r w:rsidRPr="00356BA8">
        <w:rPr>
          <w:rFonts w:cs="Times New Roman"/>
          <w:b/>
        </w:rPr>
        <w:noBreakHyphen/>
      </w:r>
      <w:r w:rsidR="00496075" w:rsidRPr="00356BA8">
        <w:rPr>
          <w:rFonts w:cs="Times New Roman"/>
          <w:b/>
        </w:rPr>
        <w:t>22</w:t>
      </w:r>
      <w:r w:rsidRPr="00356BA8">
        <w:rPr>
          <w:rFonts w:cs="Times New Roman"/>
          <w:b/>
        </w:rPr>
        <w:noBreakHyphen/>
      </w:r>
      <w:r w:rsidR="00496075" w:rsidRPr="00356BA8">
        <w:rPr>
          <w:rFonts w:cs="Times New Roman"/>
          <w:b/>
        </w:rPr>
        <w:t>970.</w:t>
      </w:r>
      <w:r w:rsidR="00496075" w:rsidRPr="00356BA8">
        <w:rPr>
          <w:rFonts w:cs="Times New Roman"/>
        </w:rPr>
        <w:t xml:space="preserve"> Notice to department prior to certain changes in machines. </w:t>
      </w: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4D6"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A machine owner shall notify the department before a machine is added, replaced, disconnected, or transferred to another establishment. </w:t>
      </w:r>
    </w:p>
    <w:p w:rsidR="004304D6" w:rsidRDefault="004304D6"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b/>
        </w:rPr>
        <w:t xml:space="preserve">SECTION </w:t>
      </w:r>
      <w:r w:rsidR="00496075" w:rsidRPr="00356BA8">
        <w:rPr>
          <w:rFonts w:cs="Times New Roman"/>
          <w:b/>
        </w:rPr>
        <w:t>12</w:t>
      </w:r>
      <w:r w:rsidRPr="00356BA8">
        <w:rPr>
          <w:rFonts w:cs="Times New Roman"/>
          <w:b/>
        </w:rPr>
        <w:noBreakHyphen/>
      </w:r>
      <w:r w:rsidR="00496075" w:rsidRPr="00356BA8">
        <w:rPr>
          <w:rFonts w:cs="Times New Roman"/>
          <w:b/>
        </w:rPr>
        <w:t>22</w:t>
      </w:r>
      <w:r w:rsidRPr="00356BA8">
        <w:rPr>
          <w:rFonts w:cs="Times New Roman"/>
          <w:b/>
        </w:rPr>
        <w:noBreakHyphen/>
      </w:r>
      <w:r w:rsidR="00496075" w:rsidRPr="00356BA8">
        <w:rPr>
          <w:rFonts w:cs="Times New Roman"/>
          <w:b/>
        </w:rPr>
        <w:t>980.</w:t>
      </w:r>
      <w:r w:rsidR="00496075" w:rsidRPr="00356BA8">
        <w:rPr>
          <w:rFonts w:cs="Times New Roman"/>
        </w:rPr>
        <w:t xml:space="preserve"> Notice to department prior to certain changes in location controllers. </w:t>
      </w: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4D6"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The licensed establishment or machine owner shall notify the department before a location controller is added, disconnected, or transferred to another establishment. </w:t>
      </w:r>
    </w:p>
    <w:p w:rsidR="004304D6" w:rsidRDefault="004304D6"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b/>
        </w:rPr>
        <w:t xml:space="preserve">SECTION </w:t>
      </w:r>
      <w:r w:rsidR="00496075" w:rsidRPr="00356BA8">
        <w:rPr>
          <w:rFonts w:cs="Times New Roman"/>
          <w:b/>
        </w:rPr>
        <w:t>12</w:t>
      </w:r>
      <w:r w:rsidRPr="00356BA8">
        <w:rPr>
          <w:rFonts w:cs="Times New Roman"/>
          <w:b/>
        </w:rPr>
        <w:noBreakHyphen/>
      </w:r>
      <w:r w:rsidR="00496075" w:rsidRPr="00356BA8">
        <w:rPr>
          <w:rFonts w:cs="Times New Roman"/>
          <w:b/>
        </w:rPr>
        <w:t>22</w:t>
      </w:r>
      <w:r w:rsidRPr="00356BA8">
        <w:rPr>
          <w:rFonts w:cs="Times New Roman"/>
          <w:b/>
        </w:rPr>
        <w:noBreakHyphen/>
      </w:r>
      <w:r w:rsidR="00496075" w:rsidRPr="00356BA8">
        <w:rPr>
          <w:rFonts w:cs="Times New Roman"/>
          <w:b/>
        </w:rPr>
        <w:t>990.</w:t>
      </w:r>
      <w:r w:rsidR="00496075" w:rsidRPr="00356BA8">
        <w:rPr>
          <w:rFonts w:cs="Times New Roman"/>
        </w:rPr>
        <w:t xml:space="preserve"> Machines to be disabled if location controller not polled for a specified period. </w:t>
      </w: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(A) Each location controller must be programmed automatically to disable the play of all machines connected to the location controller, if the location controller has not been polled by the central computer monitoring system for the purpose of collecting meter and event data, for a period to be determined by the department, but not less than seventy</w:t>
      </w:r>
      <w:r w:rsidR="00356BA8" w:rsidRPr="00356BA8">
        <w:rPr>
          <w:rFonts w:cs="Times New Roman"/>
        </w:rPr>
        <w:noBreakHyphen/>
      </w:r>
      <w:r w:rsidRPr="00356BA8">
        <w:rPr>
          <w:rFonts w:cs="Times New Roman"/>
        </w:rPr>
        <w:t xml:space="preserve">two hours.  The machine must be enabled when communication has been restored.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(B) Whenever a machine is disabled during play of a game, the following must occur: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(1) a message must appear on the screen warning the player that the machine is about to be disabled and the player must be informed that one minute remains to complete the game;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(2) a count</w:t>
      </w:r>
      <w:r w:rsidR="00356BA8" w:rsidRPr="00356BA8">
        <w:rPr>
          <w:rFonts w:cs="Times New Roman"/>
        </w:rPr>
        <w:noBreakHyphen/>
      </w:r>
      <w:r w:rsidRPr="00356BA8">
        <w:rPr>
          <w:rFonts w:cs="Times New Roman"/>
        </w:rPr>
        <w:t xml:space="preserve">down timer must be displayed;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(3) if the player completes the game, all payouts must be reported on a payout ticket and no other games are allowed to be played on that machine;  and </w:t>
      </w:r>
    </w:p>
    <w:p w:rsidR="004304D6"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(4) if the player has not completed the game in the minute allotted, then the machine shall complete the hand according to the manufacturer</w:t>
      </w:r>
      <w:r w:rsidR="00356BA8" w:rsidRPr="00356BA8">
        <w:rPr>
          <w:rFonts w:cs="Times New Roman"/>
        </w:rPr>
        <w:t>’</w:t>
      </w:r>
      <w:r w:rsidRPr="00356BA8">
        <w:rPr>
          <w:rFonts w:cs="Times New Roman"/>
        </w:rPr>
        <w:t xml:space="preserve">s recommended play strategy, all payouts must be reported on a payout ticket, and the machine then disabled. </w:t>
      </w:r>
    </w:p>
    <w:p w:rsidR="004304D6" w:rsidRDefault="004304D6"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b/>
        </w:rPr>
        <w:t xml:space="preserve">SECTION </w:t>
      </w:r>
      <w:r w:rsidR="00496075" w:rsidRPr="00356BA8">
        <w:rPr>
          <w:rFonts w:cs="Times New Roman"/>
          <w:b/>
        </w:rPr>
        <w:t>12</w:t>
      </w:r>
      <w:r w:rsidRPr="00356BA8">
        <w:rPr>
          <w:rFonts w:cs="Times New Roman"/>
          <w:b/>
        </w:rPr>
        <w:noBreakHyphen/>
      </w:r>
      <w:r w:rsidR="00496075" w:rsidRPr="00356BA8">
        <w:rPr>
          <w:rFonts w:cs="Times New Roman"/>
          <w:b/>
        </w:rPr>
        <w:t>22</w:t>
      </w:r>
      <w:r w:rsidRPr="00356BA8">
        <w:rPr>
          <w:rFonts w:cs="Times New Roman"/>
          <w:b/>
        </w:rPr>
        <w:noBreakHyphen/>
      </w:r>
      <w:r w:rsidR="00496075" w:rsidRPr="00356BA8">
        <w:rPr>
          <w:rFonts w:cs="Times New Roman"/>
          <w:b/>
        </w:rPr>
        <w:t>1000.</w:t>
      </w:r>
      <w:r w:rsidR="00496075" w:rsidRPr="00356BA8">
        <w:rPr>
          <w:rFonts w:cs="Times New Roman"/>
        </w:rPr>
        <w:t xml:space="preserve"> VGMID required. </w:t>
      </w: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4D6"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Each machine placed in operation in this State must have affixed by the manufacturer a VGMID assigned by the department.  Each machine owner shall notify the department in writing of the receipt of a machine.   Manufacturers, distributors, and machine owners shall make machines and associated equipment available for inspection by the department or division.  No machine may be transported out</w:t>
      </w:r>
      <w:r w:rsidR="00356BA8" w:rsidRPr="00356BA8">
        <w:rPr>
          <w:rFonts w:cs="Times New Roman"/>
        </w:rPr>
        <w:noBreakHyphen/>
      </w:r>
      <w:r w:rsidRPr="00356BA8">
        <w:rPr>
          <w:rFonts w:cs="Times New Roman"/>
        </w:rPr>
        <w:t>of</w:t>
      </w:r>
      <w:r w:rsidR="00356BA8" w:rsidRPr="00356BA8">
        <w:rPr>
          <w:rFonts w:cs="Times New Roman"/>
        </w:rPr>
        <w:noBreakHyphen/>
      </w:r>
      <w:r w:rsidRPr="00356BA8">
        <w:rPr>
          <w:rFonts w:cs="Times New Roman"/>
        </w:rPr>
        <w:t>state until the VGMID has been removed.  No one other than an authorized department or division employee shall remove the VGMID.  For qualifying machines already located in the State, the department shall assign, and the division shall affix, the VGMID.  The VGMID must be programmed into the machine and serves as the machine</w:t>
      </w:r>
      <w:r w:rsidR="00356BA8" w:rsidRPr="00356BA8">
        <w:rPr>
          <w:rFonts w:cs="Times New Roman"/>
        </w:rPr>
        <w:t>’</w:t>
      </w:r>
      <w:r w:rsidRPr="00356BA8">
        <w:rPr>
          <w:rFonts w:cs="Times New Roman"/>
        </w:rPr>
        <w:t xml:space="preserve">s unique identifier for purposes of logging events and reporting play statistics. </w:t>
      </w:r>
    </w:p>
    <w:p w:rsidR="004304D6" w:rsidRDefault="004304D6"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b/>
        </w:rPr>
        <w:t xml:space="preserve">SECTION </w:t>
      </w:r>
      <w:r w:rsidR="00496075" w:rsidRPr="00356BA8">
        <w:rPr>
          <w:rFonts w:cs="Times New Roman"/>
          <w:b/>
        </w:rPr>
        <w:t>12</w:t>
      </w:r>
      <w:r w:rsidRPr="00356BA8">
        <w:rPr>
          <w:rFonts w:cs="Times New Roman"/>
          <w:b/>
        </w:rPr>
        <w:noBreakHyphen/>
      </w:r>
      <w:r w:rsidR="00496075" w:rsidRPr="00356BA8">
        <w:rPr>
          <w:rFonts w:cs="Times New Roman"/>
          <w:b/>
        </w:rPr>
        <w:t>22</w:t>
      </w:r>
      <w:r w:rsidRPr="00356BA8">
        <w:rPr>
          <w:rFonts w:cs="Times New Roman"/>
          <w:b/>
        </w:rPr>
        <w:noBreakHyphen/>
      </w:r>
      <w:r w:rsidR="00496075" w:rsidRPr="00356BA8">
        <w:rPr>
          <w:rFonts w:cs="Times New Roman"/>
          <w:b/>
        </w:rPr>
        <w:t>1010.</w:t>
      </w:r>
      <w:r w:rsidR="00496075" w:rsidRPr="00356BA8">
        <w:rPr>
          <w:rFonts w:cs="Times New Roman"/>
        </w:rPr>
        <w:t xml:space="preserve"> Records required for each machine. </w:t>
      </w: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(A) Every machine owner shall maintain records for each machine showing the manufacturers</w:t>
      </w:r>
      <w:r w:rsidR="00356BA8" w:rsidRPr="00356BA8">
        <w:rPr>
          <w:rFonts w:cs="Times New Roman"/>
        </w:rPr>
        <w:t>’</w:t>
      </w:r>
      <w:r w:rsidRPr="00356BA8">
        <w:rPr>
          <w:rFonts w:cs="Times New Roman"/>
        </w:rPr>
        <w:t xml:space="preserve"> serial number;  model and type of machine;  the VGMID;  the license number;  the location</w:t>
      </w:r>
      <w:r w:rsidR="00356BA8" w:rsidRPr="00356BA8">
        <w:rPr>
          <w:rFonts w:cs="Times New Roman"/>
        </w:rPr>
        <w:t>’</w:t>
      </w:r>
      <w:r w:rsidRPr="00356BA8">
        <w:rPr>
          <w:rFonts w:cs="Times New Roman"/>
        </w:rPr>
        <w:t>s name, address, and telephone number;  the machine operator;  the date the machine entered this State;  the date it entered the location;  the date the machine went on</w:t>
      </w:r>
      <w:r w:rsidR="00356BA8" w:rsidRPr="00356BA8">
        <w:rPr>
          <w:rFonts w:cs="Times New Roman"/>
        </w:rPr>
        <w:noBreakHyphen/>
      </w:r>
      <w:r w:rsidRPr="00356BA8">
        <w:rPr>
          <w:rFonts w:cs="Times New Roman"/>
        </w:rPr>
        <w:t xml:space="preserve">line;  and the bank account from which the taxes are withdrawn. </w:t>
      </w:r>
    </w:p>
    <w:p w:rsidR="004304D6"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(B) The machine owner shall maintain information relating to the payment of any money or compensation paid to any persons to operate the machine.   Information required by this section must be available on demand for inspection by a representative of the department or division. </w:t>
      </w:r>
    </w:p>
    <w:p w:rsidR="004304D6" w:rsidRDefault="004304D6"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b/>
        </w:rPr>
        <w:t xml:space="preserve">SECTION </w:t>
      </w:r>
      <w:r w:rsidR="00496075" w:rsidRPr="00356BA8">
        <w:rPr>
          <w:rFonts w:cs="Times New Roman"/>
          <w:b/>
        </w:rPr>
        <w:t>12</w:t>
      </w:r>
      <w:r w:rsidRPr="00356BA8">
        <w:rPr>
          <w:rFonts w:cs="Times New Roman"/>
          <w:b/>
        </w:rPr>
        <w:noBreakHyphen/>
      </w:r>
      <w:r w:rsidR="00496075" w:rsidRPr="00356BA8">
        <w:rPr>
          <w:rFonts w:cs="Times New Roman"/>
          <w:b/>
        </w:rPr>
        <w:t>22</w:t>
      </w:r>
      <w:r w:rsidRPr="00356BA8">
        <w:rPr>
          <w:rFonts w:cs="Times New Roman"/>
          <w:b/>
        </w:rPr>
        <w:noBreakHyphen/>
      </w:r>
      <w:r w:rsidR="00496075" w:rsidRPr="00356BA8">
        <w:rPr>
          <w:rFonts w:cs="Times New Roman"/>
          <w:b/>
        </w:rPr>
        <w:t>1040.</w:t>
      </w:r>
      <w:r w:rsidR="00496075" w:rsidRPr="00356BA8">
        <w:rPr>
          <w:rFonts w:cs="Times New Roman"/>
        </w:rPr>
        <w:t xml:space="preserve"> Simulation of bingo or slot machines prohibited. </w:t>
      </w: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4D6"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A machine must not simulate bingo or a slot machine. </w:t>
      </w:r>
    </w:p>
    <w:p w:rsidR="004304D6" w:rsidRDefault="004304D6"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b/>
        </w:rPr>
        <w:t xml:space="preserve">SECTION </w:t>
      </w:r>
      <w:r w:rsidR="00496075" w:rsidRPr="00356BA8">
        <w:rPr>
          <w:rFonts w:cs="Times New Roman"/>
          <w:b/>
        </w:rPr>
        <w:t>12</w:t>
      </w:r>
      <w:r w:rsidRPr="00356BA8">
        <w:rPr>
          <w:rFonts w:cs="Times New Roman"/>
          <w:b/>
        </w:rPr>
        <w:noBreakHyphen/>
      </w:r>
      <w:r w:rsidR="00496075" w:rsidRPr="00356BA8">
        <w:rPr>
          <w:rFonts w:cs="Times New Roman"/>
          <w:b/>
        </w:rPr>
        <w:t>22</w:t>
      </w:r>
      <w:r w:rsidRPr="00356BA8">
        <w:rPr>
          <w:rFonts w:cs="Times New Roman"/>
          <w:b/>
        </w:rPr>
        <w:noBreakHyphen/>
      </w:r>
      <w:r w:rsidR="00496075" w:rsidRPr="00356BA8">
        <w:rPr>
          <w:rFonts w:cs="Times New Roman"/>
          <w:b/>
        </w:rPr>
        <w:t>1050.</w:t>
      </w:r>
      <w:r w:rsidR="00496075" w:rsidRPr="00356BA8">
        <w:rPr>
          <w:rFonts w:cs="Times New Roman"/>
        </w:rPr>
        <w:t xml:space="preserve"> Printing of tickets. </w:t>
      </w: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4D6"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Each machine must contain a single printing mechanism capable of printing an original ticket and retaining an exact copy which is subject to inspection by the department.  Tickets must contain any information the department determines to be reasonable for the efficient administration of this chapter.  The department shall provide manufacturers information as to the information needed on a ticket and the placement of information on the ticket. </w:t>
      </w:r>
    </w:p>
    <w:p w:rsidR="004304D6" w:rsidRDefault="004304D6"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b/>
        </w:rPr>
        <w:t xml:space="preserve">SECTION </w:t>
      </w:r>
      <w:r w:rsidR="00496075" w:rsidRPr="00356BA8">
        <w:rPr>
          <w:rFonts w:cs="Times New Roman"/>
          <w:b/>
        </w:rPr>
        <w:t>12</w:t>
      </w:r>
      <w:r w:rsidRPr="00356BA8">
        <w:rPr>
          <w:rFonts w:cs="Times New Roman"/>
          <w:b/>
        </w:rPr>
        <w:noBreakHyphen/>
      </w:r>
      <w:r w:rsidR="00496075" w:rsidRPr="00356BA8">
        <w:rPr>
          <w:rFonts w:cs="Times New Roman"/>
          <w:b/>
        </w:rPr>
        <w:t>22</w:t>
      </w:r>
      <w:r w:rsidRPr="00356BA8">
        <w:rPr>
          <w:rFonts w:cs="Times New Roman"/>
          <w:b/>
        </w:rPr>
        <w:noBreakHyphen/>
      </w:r>
      <w:r w:rsidR="00496075" w:rsidRPr="00356BA8">
        <w:rPr>
          <w:rFonts w:cs="Times New Roman"/>
          <w:b/>
        </w:rPr>
        <w:t>1060.</w:t>
      </w:r>
      <w:r w:rsidR="00496075" w:rsidRPr="00356BA8">
        <w:rPr>
          <w:rFonts w:cs="Times New Roman"/>
        </w:rPr>
        <w:t xml:space="preserve"> Machines and related equipment must be Year 2000 compliant. </w:t>
      </w: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4D6"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All machines, location controllers, and the central computer monitoring system selected by the department must perform correctly before, during, and after the year 2000, with no error in functioning or data caused by failure to correctly interpret and utilize data contained within date fields within the system. </w:t>
      </w:r>
    </w:p>
    <w:p w:rsidR="004304D6" w:rsidRDefault="004304D6"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b/>
        </w:rPr>
        <w:t xml:space="preserve">SECTION </w:t>
      </w:r>
      <w:r w:rsidR="00496075" w:rsidRPr="00356BA8">
        <w:rPr>
          <w:rFonts w:cs="Times New Roman"/>
          <w:b/>
        </w:rPr>
        <w:t>12</w:t>
      </w:r>
      <w:r w:rsidRPr="00356BA8">
        <w:rPr>
          <w:rFonts w:cs="Times New Roman"/>
          <w:b/>
        </w:rPr>
        <w:noBreakHyphen/>
      </w:r>
      <w:r w:rsidR="00496075" w:rsidRPr="00356BA8">
        <w:rPr>
          <w:rFonts w:cs="Times New Roman"/>
          <w:b/>
        </w:rPr>
        <w:t>22</w:t>
      </w:r>
      <w:r w:rsidRPr="00356BA8">
        <w:rPr>
          <w:rFonts w:cs="Times New Roman"/>
          <w:b/>
        </w:rPr>
        <w:noBreakHyphen/>
      </w:r>
      <w:r w:rsidR="00496075" w:rsidRPr="00356BA8">
        <w:rPr>
          <w:rFonts w:cs="Times New Roman"/>
          <w:b/>
        </w:rPr>
        <w:t>1070.</w:t>
      </w:r>
      <w:r w:rsidR="00496075" w:rsidRPr="00356BA8">
        <w:rPr>
          <w:rFonts w:cs="Times New Roman"/>
        </w:rPr>
        <w:t xml:space="preserve"> Department to disable machines under specified circumstances. </w:t>
      </w: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(A) The department shall disable machines via the central computer monitoring system for the following reasons: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(1) the establishment license or retail sales tax license at the establishment where the machines are located has been revoked or suspended;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(2) the license of the machine has been revoked or suspended;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(3) the machine owner</w:t>
      </w:r>
      <w:r w:rsidR="00356BA8" w:rsidRPr="00356BA8">
        <w:rPr>
          <w:rFonts w:cs="Times New Roman"/>
        </w:rPr>
        <w:t>’</w:t>
      </w:r>
      <w:r w:rsidRPr="00356BA8">
        <w:rPr>
          <w:rFonts w:cs="Times New Roman"/>
        </w:rPr>
        <w:t xml:space="preserve">s license has been revoked or suspended;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(4) the machine operator</w:t>
      </w:r>
      <w:r w:rsidR="00356BA8" w:rsidRPr="00356BA8">
        <w:rPr>
          <w:rFonts w:cs="Times New Roman"/>
        </w:rPr>
        <w:t>’</w:t>
      </w:r>
      <w:r w:rsidRPr="00356BA8">
        <w:rPr>
          <w:rFonts w:cs="Times New Roman"/>
        </w:rPr>
        <w:t xml:space="preserve">s license has been revoked or suspended;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(5) the establishment license, machine license, machine owner</w:t>
      </w:r>
      <w:r w:rsidR="00356BA8" w:rsidRPr="00356BA8">
        <w:rPr>
          <w:rFonts w:cs="Times New Roman"/>
        </w:rPr>
        <w:t>’</w:t>
      </w:r>
      <w:r w:rsidRPr="00356BA8">
        <w:rPr>
          <w:rFonts w:cs="Times New Roman"/>
        </w:rPr>
        <w:t>s license, or machine operator</w:t>
      </w:r>
      <w:r w:rsidR="00356BA8" w:rsidRPr="00356BA8">
        <w:rPr>
          <w:rFonts w:cs="Times New Roman"/>
        </w:rPr>
        <w:t>’</w:t>
      </w:r>
      <w:r w:rsidRPr="00356BA8">
        <w:rPr>
          <w:rFonts w:cs="Times New Roman"/>
        </w:rPr>
        <w:t xml:space="preserve">s license has expired;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(6) the central computer monitoring system has registered a violation of system integrity by a machine.  A machine disabled for this reason will be enabled again as soon as the problem has been resolved;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(7) the machine owner or the machine operator has requested that the machine be disabled for any reason, such as relocation, upgrading, or repair;  or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(8) the bank account from which taxes are paid has insufficient funds to pay the entire tax due upon the due date.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(B)(1) All persons who have notified the department of an ownership or lien interest in a machine shall be notified of a proceeding to revoke licenses that may result in disabling under this section.  A licensee whose machine, and any part of the machine, is disabled for reasons in (A)(1), (A)(2), (A)(3), or (A)(4) shall not be licensed or permitted to operate in this State for five years from the date of revocation.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(2) A machine, and any part of the machine, shall not operate in this State for five years from the date of revocation, if the machine is disabled for the reasons stated in: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(a) subsection (A)(1) or (A)(4), if the machine owner and the person holding the establishment license are the same person;  or </w:t>
      </w:r>
    </w:p>
    <w:p w:rsidR="00496075" w:rsidRPr="00356BA8"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(b) subsections (A)(2) or (A)(3). </w:t>
      </w:r>
    </w:p>
    <w:p w:rsidR="004304D6"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(C) All persons who have notified the department of an ownership interest in an establishment shall be notified of a proceeding to revoke licenses that may result in disabling under Section (A)(1).  If machines are disabled at an establishment for the reason in (A)(1), the establishment may not operate, or allow the operation of, machines for five years from the date of the revocation or suspension. </w:t>
      </w:r>
    </w:p>
    <w:p w:rsidR="004304D6" w:rsidRDefault="004304D6"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b/>
        </w:rPr>
        <w:t xml:space="preserve">SECTION </w:t>
      </w:r>
      <w:r w:rsidR="00496075" w:rsidRPr="00356BA8">
        <w:rPr>
          <w:rFonts w:cs="Times New Roman"/>
          <w:b/>
        </w:rPr>
        <w:t>12</w:t>
      </w:r>
      <w:r w:rsidRPr="00356BA8">
        <w:rPr>
          <w:rFonts w:cs="Times New Roman"/>
          <w:b/>
        </w:rPr>
        <w:noBreakHyphen/>
      </w:r>
      <w:r w:rsidR="00496075" w:rsidRPr="00356BA8">
        <w:rPr>
          <w:rFonts w:cs="Times New Roman"/>
          <w:b/>
        </w:rPr>
        <w:t>22</w:t>
      </w:r>
      <w:r w:rsidRPr="00356BA8">
        <w:rPr>
          <w:rFonts w:cs="Times New Roman"/>
          <w:b/>
        </w:rPr>
        <w:noBreakHyphen/>
      </w:r>
      <w:r w:rsidR="00496075" w:rsidRPr="00356BA8">
        <w:rPr>
          <w:rFonts w:cs="Times New Roman"/>
          <w:b/>
        </w:rPr>
        <w:t>1080.</w:t>
      </w:r>
      <w:r w:rsidR="00496075" w:rsidRPr="00356BA8">
        <w:rPr>
          <w:rFonts w:cs="Times New Roman"/>
        </w:rPr>
        <w:t xml:space="preserve"> Alternative technical provisions. </w:t>
      </w: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4D6"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6BA8">
        <w:rPr>
          <w:rFonts w:cs="Times New Roman"/>
        </w:rPr>
        <w:t xml:space="preserve">The department, in its discretion, may approve, effective upon publication in the State Register, alternative technical provisions provided that the technology maintains the security, account information, and integrity of the machines, location controllers, and central computer monitoring system. </w:t>
      </w:r>
    </w:p>
    <w:p w:rsidR="004304D6" w:rsidRDefault="004304D6"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96075" w:rsidRPr="00356BA8">
        <w:rPr>
          <w:rFonts w:cs="Times New Roman"/>
        </w:rPr>
        <w:t>11.</w:t>
      </w: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304D6"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6BA8">
        <w:rPr>
          <w:rFonts w:cs="Times New Roman"/>
        </w:rPr>
        <w:t xml:space="preserve"> LICENSE APPLICATIONS AND BACKGROUND INVESTIGATIONS</w:t>
      </w:r>
    </w:p>
    <w:p w:rsidR="004304D6" w:rsidRDefault="004304D6"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96075" w:rsidRPr="00356BA8">
        <w:rPr>
          <w:rFonts w:cs="Times New Roman"/>
        </w:rPr>
        <w:t>13.</w:t>
      </w: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304D6"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6BA8">
        <w:rPr>
          <w:rFonts w:cs="Times New Roman"/>
        </w:rPr>
        <w:t xml:space="preserve"> PENALTIES</w:t>
      </w:r>
    </w:p>
    <w:p w:rsidR="004304D6" w:rsidRDefault="004304D6"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96075" w:rsidRPr="00356BA8">
        <w:rPr>
          <w:rFonts w:cs="Times New Roman"/>
        </w:rPr>
        <w:t>15.</w:t>
      </w: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304D6"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6BA8">
        <w:rPr>
          <w:rFonts w:cs="Times New Roman"/>
        </w:rPr>
        <w:t xml:space="preserve"> ARCADE GAME MACHINES AND OTHER DEVICES</w:t>
      </w:r>
    </w:p>
    <w:p w:rsidR="004304D6" w:rsidRDefault="004304D6"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96075" w:rsidRPr="00356BA8">
        <w:rPr>
          <w:rFonts w:cs="Times New Roman"/>
        </w:rPr>
        <w:t>17.</w:t>
      </w:r>
    </w:p>
    <w:p w:rsidR="00356BA8" w:rsidRDefault="00356BA8"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304D6" w:rsidRDefault="0049607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6BA8">
        <w:rPr>
          <w:rFonts w:cs="Times New Roman"/>
        </w:rPr>
        <w:t xml:space="preserve"> TRANSITIONAL PROVISIONS</w:t>
      </w:r>
    </w:p>
    <w:p w:rsidR="004304D6" w:rsidRDefault="004304D6"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4435" w:rsidRPr="00356BA8" w:rsidRDefault="00184435" w:rsidP="0035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56BA8" w:rsidSect="00356B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BA8" w:rsidRDefault="00356BA8" w:rsidP="00356BA8">
      <w:r>
        <w:separator/>
      </w:r>
    </w:p>
  </w:endnote>
  <w:endnote w:type="continuationSeparator" w:id="0">
    <w:p w:rsidR="00356BA8" w:rsidRDefault="00356BA8" w:rsidP="00356B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BA8" w:rsidRPr="00356BA8" w:rsidRDefault="00356BA8" w:rsidP="00356B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BA8" w:rsidRPr="00356BA8" w:rsidRDefault="00356BA8" w:rsidP="00356B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BA8" w:rsidRPr="00356BA8" w:rsidRDefault="00356BA8" w:rsidP="00356B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BA8" w:rsidRDefault="00356BA8" w:rsidP="00356BA8">
      <w:r>
        <w:separator/>
      </w:r>
    </w:p>
  </w:footnote>
  <w:footnote w:type="continuationSeparator" w:id="0">
    <w:p w:rsidR="00356BA8" w:rsidRDefault="00356BA8" w:rsidP="00356B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BA8" w:rsidRPr="00356BA8" w:rsidRDefault="00356BA8" w:rsidP="00356B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BA8" w:rsidRPr="00356BA8" w:rsidRDefault="00356BA8" w:rsidP="00356B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BA8" w:rsidRPr="00356BA8" w:rsidRDefault="00356BA8" w:rsidP="00356B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96075"/>
    <w:rsid w:val="000B3C22"/>
    <w:rsid w:val="001763C2"/>
    <w:rsid w:val="00184435"/>
    <w:rsid w:val="00247C2E"/>
    <w:rsid w:val="002C4F8E"/>
    <w:rsid w:val="00356BA8"/>
    <w:rsid w:val="004304D6"/>
    <w:rsid w:val="00496075"/>
    <w:rsid w:val="007A495E"/>
    <w:rsid w:val="00817EA2"/>
    <w:rsid w:val="00C43F44"/>
    <w:rsid w:val="00D349ED"/>
    <w:rsid w:val="00F11E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6BA8"/>
    <w:pPr>
      <w:tabs>
        <w:tab w:val="center" w:pos="4680"/>
        <w:tab w:val="right" w:pos="9360"/>
      </w:tabs>
    </w:pPr>
  </w:style>
  <w:style w:type="character" w:customStyle="1" w:styleId="HeaderChar">
    <w:name w:val="Header Char"/>
    <w:basedOn w:val="DefaultParagraphFont"/>
    <w:link w:val="Header"/>
    <w:uiPriority w:val="99"/>
    <w:semiHidden/>
    <w:rsid w:val="00356BA8"/>
  </w:style>
  <w:style w:type="paragraph" w:styleId="Footer">
    <w:name w:val="footer"/>
    <w:basedOn w:val="Normal"/>
    <w:link w:val="FooterChar"/>
    <w:uiPriority w:val="99"/>
    <w:semiHidden/>
    <w:unhideWhenUsed/>
    <w:rsid w:val="00356BA8"/>
    <w:pPr>
      <w:tabs>
        <w:tab w:val="center" w:pos="4680"/>
        <w:tab w:val="right" w:pos="9360"/>
      </w:tabs>
    </w:pPr>
  </w:style>
  <w:style w:type="character" w:customStyle="1" w:styleId="FooterChar">
    <w:name w:val="Footer Char"/>
    <w:basedOn w:val="DefaultParagraphFont"/>
    <w:link w:val="Footer"/>
    <w:uiPriority w:val="99"/>
    <w:semiHidden/>
    <w:rsid w:val="00356BA8"/>
  </w:style>
  <w:style w:type="character" w:styleId="Hyperlink">
    <w:name w:val="Hyperlink"/>
    <w:basedOn w:val="DefaultParagraphFont"/>
    <w:semiHidden/>
    <w:rsid w:val="004304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4224</Words>
  <Characters>24077</Characters>
  <Application>Microsoft Office Word</Application>
  <DocSecurity>0</DocSecurity>
  <Lines>200</Lines>
  <Paragraphs>56</Paragraphs>
  <ScaleCrop>false</ScaleCrop>
  <Company>LPITS</Company>
  <LinksUpToDate>false</LinksUpToDate>
  <CharactersWithSpaces>28245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2011-01-12T17:18:00Z</dcterms:created>
  <dcterms:modified xsi:type="dcterms:W3CDTF">2011-01-14T16:53:00Z</dcterms:modified>
</cp:coreProperties>
</file>