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5A" w:rsidRDefault="007D765A">
      <w:pPr>
        <w:jc w:val="center"/>
      </w:pPr>
      <w:r>
        <w:t>DISCLAIMER</w:t>
      </w:r>
    </w:p>
    <w:p w:rsidR="007D765A" w:rsidRDefault="007D765A"/>
    <w:p w:rsidR="007D765A" w:rsidRDefault="007D765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D765A" w:rsidRDefault="007D765A"/>
    <w:p w:rsidR="007D765A" w:rsidRDefault="007D765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765A" w:rsidRDefault="007D765A"/>
    <w:p w:rsidR="007D765A" w:rsidRDefault="007D765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765A" w:rsidRDefault="007D765A"/>
    <w:p w:rsidR="007D765A" w:rsidRDefault="007D765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765A" w:rsidRDefault="007D765A"/>
    <w:p w:rsidR="007D765A" w:rsidRDefault="007D765A">
      <w:pPr>
        <w:widowControl/>
        <w:autoSpaceDE/>
        <w:autoSpaceDN/>
        <w:adjustRightInd/>
        <w:spacing w:after="200" w:line="276" w:lineRule="auto"/>
        <w:rPr>
          <w:color w:val="auto"/>
          <w:sz w:val="22"/>
        </w:rPr>
      </w:pPr>
      <w:r>
        <w:rPr>
          <w:color w:val="auto"/>
          <w:sz w:val="22"/>
        </w:rPr>
        <w:br w:type="page"/>
      </w:r>
    </w:p>
    <w:p w:rsid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7894">
        <w:rPr>
          <w:color w:val="auto"/>
          <w:sz w:val="22"/>
        </w:rPr>
        <w:t>CHAPTER 67.</w:t>
      </w: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789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7894">
        <w:rPr>
          <w:color w:val="auto"/>
          <w:sz w:val="22"/>
        </w:rPr>
        <w:t xml:space="preserve"> VARIABLE CONTRACTS</w:t>
      </w:r>
    </w:p>
    <w:p w:rsidR="00467894" w:rsidRP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b/>
          <w:color w:val="auto"/>
          <w:sz w:val="22"/>
        </w:rPr>
        <w:t xml:space="preserve">SECTION </w:t>
      </w:r>
      <w:r w:rsidR="00D66E38" w:rsidRPr="00467894">
        <w:rPr>
          <w:b/>
          <w:color w:val="auto"/>
          <w:sz w:val="22"/>
        </w:rPr>
        <w:t>38</w:t>
      </w:r>
      <w:r w:rsidRPr="00467894">
        <w:rPr>
          <w:b/>
          <w:color w:val="auto"/>
          <w:sz w:val="22"/>
        </w:rPr>
        <w:noBreakHyphen/>
      </w:r>
      <w:r w:rsidR="00D66E38" w:rsidRPr="00467894">
        <w:rPr>
          <w:b/>
          <w:color w:val="auto"/>
          <w:sz w:val="22"/>
        </w:rPr>
        <w:t>67</w:t>
      </w:r>
      <w:r w:rsidRPr="00467894">
        <w:rPr>
          <w:b/>
          <w:color w:val="auto"/>
          <w:sz w:val="22"/>
        </w:rPr>
        <w:noBreakHyphen/>
      </w:r>
      <w:r w:rsidR="00D66E38" w:rsidRPr="00467894">
        <w:rPr>
          <w:b/>
          <w:color w:val="auto"/>
          <w:sz w:val="22"/>
        </w:rPr>
        <w:t>10.</w:t>
      </w:r>
      <w:r w:rsidR="00D66E38" w:rsidRPr="00467894">
        <w:rPr>
          <w:color w:val="auto"/>
          <w:sz w:val="22"/>
        </w:rPr>
        <w:t xml:space="preserve"> Domestic life insurers authorized to establish accounts. </w:t>
      </w: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 </w:t>
      </w: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(a) The income, gains, and losses, realized or unrealized, from assets allocated to a separate account must be credited to or charged against the account, without regard to other income, gains, or losses of the insurer. </w:t>
      </w: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 </w:t>
      </w: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 </w:t>
      </w: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467894" w:rsidRPr="00467894">
        <w:rPr>
          <w:color w:val="auto"/>
          <w:sz w:val="22"/>
        </w:rPr>
        <w:t>’</w:t>
      </w:r>
      <w:r w:rsidRPr="00467894">
        <w:rPr>
          <w:color w:val="auto"/>
          <w:sz w:val="22"/>
        </w:rPr>
        <w:t>s reserve liability with regard to the guaranteed benefits and funds referred to in item (c) of this section must be valued in accordance with the rules otherwise applicable to the insurer</w:t>
      </w:r>
      <w:r w:rsidR="00467894" w:rsidRPr="00467894">
        <w:rPr>
          <w:color w:val="auto"/>
          <w:sz w:val="22"/>
        </w:rPr>
        <w:t>’</w:t>
      </w:r>
      <w:r w:rsidRPr="00467894">
        <w:rPr>
          <w:color w:val="auto"/>
          <w:sz w:val="22"/>
        </w:rPr>
        <w:t xml:space="preserve">s assets. </w:t>
      </w: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 </w:t>
      </w: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 </w:t>
      </w:r>
    </w:p>
    <w:p w:rsidR="0046789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 </w:t>
      </w:r>
    </w:p>
    <w:p w:rsidR="00467894" w:rsidRP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b/>
          <w:color w:val="auto"/>
          <w:sz w:val="22"/>
        </w:rPr>
        <w:lastRenderedPageBreak/>
        <w:t xml:space="preserve">SECTION </w:t>
      </w:r>
      <w:r w:rsidR="00D66E38" w:rsidRPr="00467894">
        <w:rPr>
          <w:b/>
          <w:color w:val="auto"/>
          <w:sz w:val="22"/>
        </w:rPr>
        <w:t>38</w:t>
      </w:r>
      <w:r w:rsidRPr="00467894">
        <w:rPr>
          <w:b/>
          <w:color w:val="auto"/>
          <w:sz w:val="22"/>
        </w:rPr>
        <w:noBreakHyphen/>
      </w:r>
      <w:r w:rsidR="00D66E38" w:rsidRPr="00467894">
        <w:rPr>
          <w:b/>
          <w:color w:val="auto"/>
          <w:sz w:val="22"/>
        </w:rPr>
        <w:t>67</w:t>
      </w:r>
      <w:r w:rsidRPr="00467894">
        <w:rPr>
          <w:b/>
          <w:color w:val="auto"/>
          <w:sz w:val="22"/>
        </w:rPr>
        <w:noBreakHyphen/>
      </w:r>
      <w:r w:rsidR="00D66E38" w:rsidRPr="00467894">
        <w:rPr>
          <w:b/>
          <w:color w:val="auto"/>
          <w:sz w:val="22"/>
        </w:rPr>
        <w:t>20.</w:t>
      </w:r>
      <w:r w:rsidR="00D66E38" w:rsidRPr="00467894">
        <w:rPr>
          <w:color w:val="auto"/>
          <w:sz w:val="22"/>
        </w:rPr>
        <w:t xml:space="preserve"> Statement of essential features of procedures used in determining dollar amount of variable benefits. </w:t>
      </w: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789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 </w:t>
      </w:r>
    </w:p>
    <w:p w:rsidR="00467894" w:rsidRP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b/>
          <w:color w:val="auto"/>
          <w:sz w:val="22"/>
        </w:rPr>
        <w:t xml:space="preserve">SECTION </w:t>
      </w:r>
      <w:r w:rsidR="00D66E38" w:rsidRPr="00467894">
        <w:rPr>
          <w:b/>
          <w:color w:val="auto"/>
          <w:sz w:val="22"/>
        </w:rPr>
        <w:t>38</w:t>
      </w:r>
      <w:r w:rsidRPr="00467894">
        <w:rPr>
          <w:b/>
          <w:color w:val="auto"/>
          <w:sz w:val="22"/>
        </w:rPr>
        <w:noBreakHyphen/>
      </w:r>
      <w:r w:rsidR="00D66E38" w:rsidRPr="00467894">
        <w:rPr>
          <w:b/>
          <w:color w:val="auto"/>
          <w:sz w:val="22"/>
        </w:rPr>
        <w:t>67</w:t>
      </w:r>
      <w:r w:rsidRPr="00467894">
        <w:rPr>
          <w:b/>
          <w:color w:val="auto"/>
          <w:sz w:val="22"/>
        </w:rPr>
        <w:noBreakHyphen/>
      </w:r>
      <w:r w:rsidR="00D66E38" w:rsidRPr="00467894">
        <w:rPr>
          <w:b/>
          <w:color w:val="auto"/>
          <w:sz w:val="22"/>
        </w:rPr>
        <w:t>30.</w:t>
      </w:r>
      <w:r w:rsidR="00D66E38" w:rsidRPr="00467894">
        <w:rPr>
          <w:color w:val="auto"/>
          <w:sz w:val="22"/>
        </w:rPr>
        <w:t xml:space="preserve"> Qualifications of companies delivering or issuing variable contracts. </w:t>
      </w: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 </w:t>
      </w: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(a) The history and financial condition of the insurer; </w:t>
      </w: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(b) The character, responsibility, and fitness of the officers and directors of the insurer;  and </w:t>
      </w:r>
    </w:p>
    <w:p w:rsidR="00A276F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(c) The law and regulation under which the insurer is authorized in the state of domicile to issue variable contracts.  The state of entry of an alien insurer is considered its place of domicile for this purpose. </w:t>
      </w:r>
    </w:p>
    <w:p w:rsidR="0046789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 </w:t>
      </w:r>
    </w:p>
    <w:p w:rsidR="00467894" w:rsidRP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b/>
          <w:color w:val="auto"/>
          <w:sz w:val="22"/>
        </w:rPr>
        <w:t xml:space="preserve">SECTION </w:t>
      </w:r>
      <w:r w:rsidR="00D66E38" w:rsidRPr="00467894">
        <w:rPr>
          <w:b/>
          <w:color w:val="auto"/>
          <w:sz w:val="22"/>
        </w:rPr>
        <w:t>38</w:t>
      </w:r>
      <w:r w:rsidRPr="00467894">
        <w:rPr>
          <w:b/>
          <w:color w:val="auto"/>
          <w:sz w:val="22"/>
        </w:rPr>
        <w:noBreakHyphen/>
      </w:r>
      <w:r w:rsidR="00D66E38" w:rsidRPr="00467894">
        <w:rPr>
          <w:b/>
          <w:color w:val="auto"/>
          <w:sz w:val="22"/>
        </w:rPr>
        <w:t>67</w:t>
      </w:r>
      <w:r w:rsidRPr="00467894">
        <w:rPr>
          <w:b/>
          <w:color w:val="auto"/>
          <w:sz w:val="22"/>
        </w:rPr>
        <w:noBreakHyphen/>
      </w:r>
      <w:r w:rsidR="00D66E38" w:rsidRPr="00467894">
        <w:rPr>
          <w:b/>
          <w:color w:val="auto"/>
          <w:sz w:val="22"/>
        </w:rPr>
        <w:t>40.</w:t>
      </w:r>
      <w:r w:rsidR="00D66E38" w:rsidRPr="00467894">
        <w:rPr>
          <w:color w:val="auto"/>
          <w:sz w:val="22"/>
        </w:rPr>
        <w:t xml:space="preserve"> Regulations. </w:t>
      </w: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789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 </w:t>
      </w:r>
    </w:p>
    <w:p w:rsidR="00467894" w:rsidRP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b/>
          <w:color w:val="auto"/>
          <w:sz w:val="22"/>
        </w:rPr>
        <w:t xml:space="preserve">SECTION </w:t>
      </w:r>
      <w:r w:rsidR="00D66E38" w:rsidRPr="00467894">
        <w:rPr>
          <w:b/>
          <w:color w:val="auto"/>
          <w:sz w:val="22"/>
        </w:rPr>
        <w:t>38</w:t>
      </w:r>
      <w:r w:rsidRPr="00467894">
        <w:rPr>
          <w:b/>
          <w:color w:val="auto"/>
          <w:sz w:val="22"/>
        </w:rPr>
        <w:noBreakHyphen/>
      </w:r>
      <w:r w:rsidR="00D66E38" w:rsidRPr="00467894">
        <w:rPr>
          <w:b/>
          <w:color w:val="auto"/>
          <w:sz w:val="22"/>
        </w:rPr>
        <w:t>67</w:t>
      </w:r>
      <w:r w:rsidRPr="00467894">
        <w:rPr>
          <w:b/>
          <w:color w:val="auto"/>
          <w:sz w:val="22"/>
        </w:rPr>
        <w:noBreakHyphen/>
      </w:r>
      <w:r w:rsidR="00D66E38" w:rsidRPr="00467894">
        <w:rPr>
          <w:b/>
          <w:color w:val="auto"/>
          <w:sz w:val="22"/>
        </w:rPr>
        <w:t>50.</w:t>
      </w:r>
      <w:r w:rsidR="00D66E38" w:rsidRPr="00467894">
        <w:rPr>
          <w:color w:val="auto"/>
          <w:sz w:val="22"/>
        </w:rPr>
        <w:t xml:space="preserve"> Insurance laws applicable;  grace, reinstatement, and nonforfeiture provisions;  reserve liability for variable contracts. </w:t>
      </w:r>
    </w:p>
    <w:p w:rsid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7894" w:rsidRPr="00467894" w:rsidRDefault="00D66E38"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7894">
        <w:rPr>
          <w:color w:val="auto"/>
          <w:sz w:val="22"/>
        </w:rPr>
        <w:t xml:space="preserve">Except as otherwise provided in this chapter, all pertinent provisions of the insurance laws of this State apply to separate accounts and contracts relating thereto.  However, Article 5 of Chapter 63 of this title does not apply to variable life insurance policies.  Any individual variable life insurance contract, delivered or 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 </w:t>
      </w:r>
    </w:p>
    <w:p w:rsidR="00467894" w:rsidRPr="00467894" w:rsidRDefault="00467894" w:rsidP="004678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67894" w:rsidRPr="00467894" w:rsidSect="004678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6F4" w:rsidRDefault="00D66E38">
      <w:pPr>
        <w:spacing w:after="0"/>
      </w:pPr>
      <w:r>
        <w:separator/>
      </w:r>
    </w:p>
  </w:endnote>
  <w:endnote w:type="continuationSeparator" w:id="0">
    <w:p w:rsidR="00A276F4" w:rsidRDefault="00D66E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94" w:rsidRPr="00467894" w:rsidRDefault="00467894" w:rsidP="004678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6F4" w:rsidRPr="00467894" w:rsidRDefault="00A276F4" w:rsidP="004678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94" w:rsidRPr="00467894" w:rsidRDefault="00467894" w:rsidP="00467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6F4" w:rsidRDefault="00D66E38">
      <w:pPr>
        <w:spacing w:after="0"/>
      </w:pPr>
      <w:r>
        <w:separator/>
      </w:r>
    </w:p>
  </w:footnote>
  <w:footnote w:type="continuationSeparator" w:id="0">
    <w:p w:rsidR="00A276F4" w:rsidRDefault="00D66E3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94" w:rsidRPr="00467894" w:rsidRDefault="00467894" w:rsidP="004678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94" w:rsidRPr="00467894" w:rsidRDefault="00467894" w:rsidP="004678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94" w:rsidRPr="00467894" w:rsidRDefault="00467894" w:rsidP="004678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6E38"/>
    <w:rsid w:val="00467894"/>
    <w:rsid w:val="007D765A"/>
    <w:rsid w:val="009D0EE5"/>
    <w:rsid w:val="00A276F4"/>
    <w:rsid w:val="00D66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F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7894"/>
    <w:pPr>
      <w:tabs>
        <w:tab w:val="center" w:pos="4680"/>
        <w:tab w:val="right" w:pos="9360"/>
      </w:tabs>
      <w:spacing w:after="0"/>
    </w:pPr>
  </w:style>
  <w:style w:type="character" w:customStyle="1" w:styleId="HeaderChar">
    <w:name w:val="Header Char"/>
    <w:basedOn w:val="DefaultParagraphFont"/>
    <w:link w:val="Header"/>
    <w:uiPriority w:val="99"/>
    <w:semiHidden/>
    <w:rsid w:val="0046789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67894"/>
    <w:pPr>
      <w:tabs>
        <w:tab w:val="center" w:pos="4680"/>
        <w:tab w:val="right" w:pos="9360"/>
      </w:tabs>
      <w:spacing w:after="0"/>
    </w:pPr>
  </w:style>
  <w:style w:type="character" w:customStyle="1" w:styleId="FooterChar">
    <w:name w:val="Footer Char"/>
    <w:basedOn w:val="DefaultParagraphFont"/>
    <w:link w:val="Footer"/>
    <w:uiPriority w:val="99"/>
    <w:semiHidden/>
    <w:rsid w:val="00467894"/>
    <w:rPr>
      <w:rFonts w:ascii="Times New Roman" w:hAnsi="Times New Roman" w:cs="Times New Roman"/>
      <w:color w:val="000000"/>
      <w:sz w:val="24"/>
      <w:szCs w:val="24"/>
    </w:rPr>
  </w:style>
  <w:style w:type="character" w:styleId="FootnoteReference">
    <w:name w:val="footnote reference"/>
    <w:basedOn w:val="DefaultParagraphFont"/>
    <w:uiPriority w:val="99"/>
    <w:rsid w:val="00A276F4"/>
    <w:rPr>
      <w:color w:val="0000FF"/>
      <w:position w:val="6"/>
      <w:sz w:val="20"/>
      <w:szCs w:val="20"/>
    </w:rPr>
  </w:style>
  <w:style w:type="character" w:styleId="Hyperlink">
    <w:name w:val="Hyperlink"/>
    <w:basedOn w:val="DefaultParagraphFont"/>
    <w:semiHidden/>
    <w:rsid w:val="007D76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2011-01-12T18:04:00Z</dcterms:created>
  <dcterms:modified xsi:type="dcterms:W3CDTF">2011-01-14T17:05:00Z</dcterms:modified>
</cp:coreProperties>
</file>