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85" w:rsidRDefault="00D16885">
      <w:pPr>
        <w:jc w:val="center"/>
      </w:pPr>
      <w:r>
        <w:t>DISCLAIMER</w:t>
      </w:r>
    </w:p>
    <w:p w:rsidR="00D16885" w:rsidRDefault="00D16885"/>
    <w:p w:rsidR="00D16885" w:rsidRDefault="00D1688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16885" w:rsidRDefault="00D16885"/>
    <w:p w:rsidR="00D16885" w:rsidRDefault="00D168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6885" w:rsidRDefault="00D16885"/>
    <w:p w:rsidR="00D16885" w:rsidRDefault="00D168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6885" w:rsidRDefault="00D16885"/>
    <w:p w:rsidR="00D16885" w:rsidRDefault="00D168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6885" w:rsidRDefault="00D16885"/>
    <w:p w:rsidR="00D16885" w:rsidRDefault="00D16885">
      <w:r>
        <w:br w:type="page"/>
      </w:r>
    </w:p>
    <w:p w:rsid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2AF">
        <w:lastRenderedPageBreak/>
        <w:t>CHAPTER 15.</w:t>
      </w: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2AF"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32AF">
        <w:t xml:space="preserve"> SOUTH CAROLINA LIFE SCIENCES ACT</w:t>
      </w:r>
    </w:p>
    <w:p w:rsidR="00F932AF" w:rsidRP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AF">
        <w:rPr>
          <w:rFonts w:cs="Times New Roman"/>
          <w:b/>
        </w:rPr>
        <w:t xml:space="preserve">SECTION </w:t>
      </w:r>
      <w:r w:rsidR="004E41A0" w:rsidRPr="00F932AF">
        <w:rPr>
          <w:rFonts w:cs="Times New Roman"/>
          <w:b/>
        </w:rPr>
        <w:t>12</w:t>
      </w:r>
      <w:r w:rsidRPr="00F932AF">
        <w:rPr>
          <w:rFonts w:cs="Times New Roman"/>
          <w:b/>
        </w:rPr>
        <w:noBreakHyphen/>
      </w:r>
      <w:r w:rsidR="004E41A0" w:rsidRPr="00F932AF">
        <w:rPr>
          <w:rFonts w:cs="Times New Roman"/>
          <w:b/>
        </w:rPr>
        <w:t>15</w:t>
      </w:r>
      <w:r w:rsidRPr="00F932AF">
        <w:rPr>
          <w:rFonts w:cs="Times New Roman"/>
          <w:b/>
        </w:rPr>
        <w:noBreakHyphen/>
      </w:r>
      <w:r w:rsidR="004E41A0" w:rsidRPr="00F932AF">
        <w:rPr>
          <w:rFonts w:cs="Times New Roman"/>
          <w:b/>
        </w:rPr>
        <w:t>10.</w:t>
      </w:r>
      <w:r w:rsidR="004E41A0" w:rsidRPr="00F932AF">
        <w:t xml:space="preserve"> Short title. </w:t>
      </w: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AF"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t xml:space="preserve">This chapter may be cited as the South Carolina Life Sciences and Renewable Energy Manufacturing Act. </w:t>
      </w:r>
    </w:p>
    <w:p w:rsidR="00F932AF" w:rsidRP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885" w:rsidRDefault="00D16885"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41A0" w:rsidRPr="00F932AF">
        <w:rPr>
          <w:color w:val="000000"/>
        </w:rPr>
        <w:t xml:space="preserve">  2004 Act No. 187, </w:t>
      </w:r>
      <w:r w:rsidR="00F932AF" w:rsidRPr="00F932AF">
        <w:rPr>
          <w:color w:val="000000"/>
        </w:rPr>
        <w:t xml:space="preserve">Section </w:t>
      </w:r>
      <w:r w:rsidR="004E41A0" w:rsidRPr="00F932AF">
        <w:rPr>
          <w:color w:val="000000"/>
        </w:rPr>
        <w:t xml:space="preserve">1.(A), eff March 17, 2004;  2010 Act No. 290, </w:t>
      </w:r>
      <w:r w:rsidR="00F932AF" w:rsidRPr="00F932AF">
        <w:rPr>
          <w:color w:val="000000"/>
        </w:rPr>
        <w:t xml:space="preserve">Section </w:t>
      </w:r>
      <w:r w:rsidR="004E41A0" w:rsidRPr="00F932AF">
        <w:rPr>
          <w:color w:val="000000"/>
        </w:rPr>
        <w:t xml:space="preserve">24, eff January 1, 2011. </w:t>
      </w:r>
    </w:p>
    <w:p w:rsidR="00D16885" w:rsidRDefault="00D16885"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AF">
        <w:rPr>
          <w:rFonts w:cs="Times New Roman"/>
          <w:b/>
          <w:color w:val="000000"/>
        </w:rPr>
        <w:t xml:space="preserve">SECTION </w:t>
      </w:r>
      <w:r w:rsidR="004E41A0" w:rsidRPr="00F932AF">
        <w:rPr>
          <w:rFonts w:cs="Times New Roman"/>
          <w:b/>
        </w:rPr>
        <w:t>12</w:t>
      </w:r>
      <w:r w:rsidRPr="00F932AF">
        <w:rPr>
          <w:rFonts w:cs="Times New Roman"/>
          <w:b/>
        </w:rPr>
        <w:noBreakHyphen/>
      </w:r>
      <w:r w:rsidR="004E41A0" w:rsidRPr="00F932AF">
        <w:rPr>
          <w:rFonts w:cs="Times New Roman"/>
          <w:b/>
        </w:rPr>
        <w:t>15</w:t>
      </w:r>
      <w:r w:rsidRPr="00F932AF">
        <w:rPr>
          <w:rFonts w:cs="Times New Roman"/>
          <w:b/>
        </w:rPr>
        <w:noBreakHyphen/>
      </w:r>
      <w:r w:rsidR="004E41A0" w:rsidRPr="00F932AF">
        <w:rPr>
          <w:rFonts w:cs="Times New Roman"/>
          <w:b/>
        </w:rPr>
        <w:t>20.</w:t>
      </w:r>
      <w:r w:rsidR="004E41A0" w:rsidRPr="00F932AF">
        <w:t xml:space="preserve"> Definitions. </w:t>
      </w: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1A0"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t xml:space="preserve">(A) For purposes of this chapter, a </w:t>
      </w:r>
      <w:r w:rsidR="00F932AF" w:rsidRPr="00F932AF">
        <w:rPr>
          <w:color w:val="000000"/>
        </w:rPr>
        <w:t>"</w:t>
      </w:r>
      <w:r w:rsidRPr="00F932AF">
        <w:rPr>
          <w:color w:val="000000"/>
        </w:rPr>
        <w:t>life sciences facility</w:t>
      </w:r>
      <w:r w:rsidR="00F932AF" w:rsidRPr="00F932AF">
        <w:rPr>
          <w:color w:val="000000"/>
        </w:rPr>
        <w:t>"</w:t>
      </w:r>
      <w:r w:rsidRPr="00F932AF">
        <w:rPr>
          <w:color w:val="000000"/>
        </w:rPr>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4E41A0"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r>
      <w:r w:rsidRPr="00F932AF">
        <w:rPr>
          <w:color w:val="000000"/>
        </w:rPr>
        <w:tab/>
        <w:t xml:space="preserve">(1) 3254 Pharmaceutical and Medical Manufacturing; </w:t>
      </w:r>
    </w:p>
    <w:p w:rsidR="004E41A0"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r>
      <w:r w:rsidRPr="00F932AF">
        <w:rPr>
          <w:color w:val="000000"/>
        </w:rPr>
        <w:tab/>
        <w:t xml:space="preserve">(2) 334516 Analytical Laboratory Instrument Manufacturing. </w:t>
      </w:r>
    </w:p>
    <w:p w:rsidR="00F932AF"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t xml:space="preserve">(B) A </w:t>
      </w:r>
      <w:r w:rsidR="00F932AF" w:rsidRPr="00F932AF">
        <w:rPr>
          <w:color w:val="000000"/>
        </w:rPr>
        <w:t>"</w:t>
      </w:r>
      <w:r w:rsidRPr="00F932AF">
        <w:rPr>
          <w:color w:val="000000"/>
        </w:rPr>
        <w:t>renewable energy manufacturing facility</w:t>
      </w:r>
      <w:r w:rsidR="00F932AF" w:rsidRPr="00F932AF">
        <w:rPr>
          <w:color w:val="000000"/>
        </w:rPr>
        <w:t>"</w:t>
      </w:r>
      <w:r w:rsidRPr="00F932AF">
        <w:rPr>
          <w:color w:val="000000"/>
        </w:rPr>
        <w:t xml:space="preserve">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F932AF" w:rsidRPr="00F932AF">
        <w:rPr>
          <w:color w:val="000000"/>
        </w:rPr>
        <w:noBreakHyphen/>
      </w:r>
      <w:r w:rsidRPr="00F932AF">
        <w:rPr>
          <w:color w:val="000000"/>
        </w:rPr>
        <w:t>6</w:t>
      </w:r>
      <w:r w:rsidR="00F932AF" w:rsidRPr="00F932AF">
        <w:rPr>
          <w:color w:val="000000"/>
        </w:rPr>
        <w:noBreakHyphen/>
      </w:r>
      <w:r w:rsidRPr="00F932AF">
        <w:rPr>
          <w:color w:val="000000"/>
        </w:rPr>
        <w:t>3377 or other vehicles certified by the South Carolina Energy Office.  The South Carolina Energy Office shall qualify a facility as a Renewable Energy Manufacturing Facility and the South Carolina Energy Office</w:t>
      </w:r>
      <w:r w:rsidR="00F932AF" w:rsidRPr="00F932AF">
        <w:rPr>
          <w:color w:val="000000"/>
        </w:rPr>
        <w:t>'</w:t>
      </w:r>
      <w:r w:rsidRPr="00F932AF">
        <w:rPr>
          <w:color w:val="000000"/>
        </w:rPr>
        <w:t xml:space="preserve">s decision is determinative as to whether a facility qualifies under this subsection. </w:t>
      </w:r>
    </w:p>
    <w:p w:rsidR="00F932AF" w:rsidRP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AF" w:rsidRDefault="00D16885"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41A0" w:rsidRPr="00F932AF">
        <w:rPr>
          <w:color w:val="000000"/>
        </w:rPr>
        <w:t xml:space="preserve">  2004 Act No. 187, </w:t>
      </w:r>
      <w:r w:rsidR="00F932AF" w:rsidRPr="00F932AF">
        <w:rPr>
          <w:color w:val="000000"/>
        </w:rPr>
        <w:t xml:space="preserve">Section </w:t>
      </w:r>
      <w:r w:rsidR="004E41A0" w:rsidRPr="00F932AF">
        <w:rPr>
          <w:color w:val="000000"/>
        </w:rPr>
        <w:t xml:space="preserve">1.(B), eff March 17, 2004;  2010 Act No. 290, </w:t>
      </w:r>
      <w:r w:rsidR="00F932AF" w:rsidRPr="00F932AF">
        <w:rPr>
          <w:color w:val="000000"/>
        </w:rPr>
        <w:t xml:space="preserve">Section </w:t>
      </w:r>
      <w:r w:rsidR="004E41A0" w:rsidRPr="00F932AF">
        <w:rPr>
          <w:color w:val="000000"/>
        </w:rPr>
        <w:t xml:space="preserve">25, eff June 23, 2010. </w:t>
      </w: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AF">
        <w:rPr>
          <w:rFonts w:cs="Times New Roman"/>
          <w:b/>
          <w:color w:val="000000"/>
        </w:rPr>
        <w:t xml:space="preserve">SECTION </w:t>
      </w:r>
      <w:r w:rsidR="004E41A0" w:rsidRPr="00F932AF">
        <w:rPr>
          <w:rFonts w:cs="Times New Roman"/>
          <w:b/>
        </w:rPr>
        <w:t>12</w:t>
      </w:r>
      <w:r w:rsidRPr="00F932AF">
        <w:rPr>
          <w:rFonts w:cs="Times New Roman"/>
          <w:b/>
        </w:rPr>
        <w:noBreakHyphen/>
      </w:r>
      <w:r w:rsidR="004E41A0" w:rsidRPr="00F932AF">
        <w:rPr>
          <w:rFonts w:cs="Times New Roman"/>
          <w:b/>
        </w:rPr>
        <w:t>15</w:t>
      </w:r>
      <w:r w:rsidRPr="00F932AF">
        <w:rPr>
          <w:rFonts w:cs="Times New Roman"/>
          <w:b/>
        </w:rPr>
        <w:noBreakHyphen/>
      </w:r>
      <w:r w:rsidR="004E41A0" w:rsidRPr="00F932AF">
        <w:rPr>
          <w:rFonts w:cs="Times New Roman"/>
          <w:b/>
        </w:rPr>
        <w:t>30.</w:t>
      </w:r>
      <w:r w:rsidR="004E41A0" w:rsidRPr="00F932AF">
        <w:t xml:space="preserve"> Qualification under Enterprise Zone Act of 1995;  period of qualification. </w:t>
      </w: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1A0"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t xml:space="preserve">(1) For all purposes of Chapter 10, Title 12 of the 1976 Code, the Enterprise Zone Act of 1995, including all definitions applicable to that chapter: </w:t>
      </w:r>
    </w:p>
    <w:p w:rsidR="004E41A0"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r>
      <w:r w:rsidRPr="00F932AF">
        <w:rPr>
          <w:color w:val="000000"/>
        </w:rPr>
        <w:tab/>
        <w:t>(a) Employee relocation expenses that qualify for reimbursement pursuant to Section 12</w:t>
      </w:r>
      <w:r w:rsidR="00F932AF" w:rsidRPr="00F932AF">
        <w:rPr>
          <w:color w:val="000000"/>
        </w:rPr>
        <w:noBreakHyphen/>
      </w:r>
      <w:r w:rsidRPr="00F932AF">
        <w:rPr>
          <w:color w:val="000000"/>
        </w:rPr>
        <w:t>10</w:t>
      </w:r>
      <w:r w:rsidR="00F932AF" w:rsidRPr="00F932AF">
        <w:rPr>
          <w:color w:val="000000"/>
        </w:rPr>
        <w:noBreakHyphen/>
      </w:r>
      <w:r w:rsidRPr="00F932AF">
        <w:rPr>
          <w:color w:val="000000"/>
        </w:rPr>
        <w:t>80(C)(3)(f) include such expenses associated with a new or expanded facility qualifying under Section 12</w:t>
      </w:r>
      <w:r w:rsidR="00F932AF" w:rsidRPr="00F932AF">
        <w:rPr>
          <w:color w:val="000000"/>
        </w:rPr>
        <w:noBreakHyphen/>
      </w:r>
      <w:r w:rsidRPr="00F932AF">
        <w:rPr>
          <w:color w:val="000000"/>
        </w:rPr>
        <w:t>15</w:t>
      </w:r>
      <w:r w:rsidR="00F932AF" w:rsidRPr="00F932AF">
        <w:rPr>
          <w:color w:val="000000"/>
        </w:rPr>
        <w:noBreakHyphen/>
      </w:r>
      <w:r w:rsidRPr="00F932AF">
        <w:rPr>
          <w:color w:val="000000"/>
        </w:rPr>
        <w:t>20 investing a minimum of one hundred million dollars in the project, as defined in Section 12</w:t>
      </w:r>
      <w:r w:rsidR="00F932AF" w:rsidRPr="00F932AF">
        <w:rPr>
          <w:color w:val="000000"/>
        </w:rPr>
        <w:noBreakHyphen/>
      </w:r>
      <w:r w:rsidRPr="00F932AF">
        <w:rPr>
          <w:color w:val="000000"/>
        </w:rPr>
        <w:t>10</w:t>
      </w:r>
      <w:r w:rsidR="00F932AF" w:rsidRPr="00F932AF">
        <w:rPr>
          <w:color w:val="000000"/>
        </w:rPr>
        <w:noBreakHyphen/>
      </w:r>
      <w:r w:rsidRPr="00F932AF">
        <w:rPr>
          <w:color w:val="000000"/>
        </w:rPr>
        <w:t>30(8) of the 1976 Code, and creating at least two hundred new full</w:t>
      </w:r>
      <w:r w:rsidR="00F932AF" w:rsidRPr="00F932AF">
        <w:rPr>
          <w:color w:val="000000"/>
        </w:rPr>
        <w:noBreakHyphen/>
      </w:r>
      <w:r w:rsidRPr="00F932AF">
        <w:rPr>
          <w:color w:val="000000"/>
        </w:rPr>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4E41A0"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r>
      <w:r w:rsidRPr="00F932AF">
        <w:rPr>
          <w:color w:val="000000"/>
        </w:rPr>
        <w:tab/>
        <w:t>(b) The waiver that may be approved by the Coordinating Council for Economic Development pursuant to Section 12</w:t>
      </w:r>
      <w:r w:rsidR="00F932AF" w:rsidRPr="00F932AF">
        <w:rPr>
          <w:color w:val="000000"/>
        </w:rPr>
        <w:noBreakHyphen/>
      </w:r>
      <w:r w:rsidRPr="00F932AF">
        <w:rPr>
          <w:color w:val="000000"/>
        </w:rPr>
        <w:t>10</w:t>
      </w:r>
      <w:r w:rsidR="00F932AF" w:rsidRPr="00F932AF">
        <w:rPr>
          <w:color w:val="000000"/>
        </w:rPr>
        <w:noBreakHyphen/>
      </w:r>
      <w:r w:rsidRPr="00F932AF">
        <w:rPr>
          <w:color w:val="000000"/>
        </w:rPr>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F932AF" w:rsidRPr="00F932AF">
        <w:rPr>
          <w:color w:val="000000"/>
        </w:rPr>
        <w:noBreakHyphen/>
      </w:r>
      <w:r w:rsidRPr="00F932AF">
        <w:rPr>
          <w:color w:val="000000"/>
        </w:rPr>
        <w:t>10</w:t>
      </w:r>
      <w:r w:rsidR="00F932AF" w:rsidRPr="00F932AF">
        <w:rPr>
          <w:color w:val="000000"/>
        </w:rPr>
        <w:noBreakHyphen/>
      </w:r>
      <w:r w:rsidRPr="00F932AF">
        <w:rPr>
          <w:color w:val="000000"/>
        </w:rPr>
        <w:t xml:space="preserve">30(8). </w:t>
      </w:r>
    </w:p>
    <w:p w:rsidR="00F932AF"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t xml:space="preserve">(2) The provisions of item (1) of this section apply with respect to capital investment made and new jobs created after June 30, 2010, and before July 1, 2014. </w:t>
      </w:r>
    </w:p>
    <w:p w:rsidR="00F932AF" w:rsidRP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AF" w:rsidRDefault="00D16885"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41A0" w:rsidRPr="00F932AF">
        <w:rPr>
          <w:color w:val="000000"/>
        </w:rPr>
        <w:t xml:space="preserve">  2004 Act No. 187, </w:t>
      </w:r>
      <w:r w:rsidR="00F932AF" w:rsidRPr="00F932AF">
        <w:rPr>
          <w:color w:val="000000"/>
        </w:rPr>
        <w:t xml:space="preserve">Section </w:t>
      </w:r>
      <w:r w:rsidR="004E41A0" w:rsidRPr="00F932AF">
        <w:rPr>
          <w:color w:val="000000"/>
        </w:rPr>
        <w:t xml:space="preserve">1.(C), eff March 17, 2004;  2010 Act No. 290, </w:t>
      </w:r>
      <w:r w:rsidR="00F932AF" w:rsidRPr="00F932AF">
        <w:rPr>
          <w:color w:val="000000"/>
        </w:rPr>
        <w:t xml:space="preserve">Section </w:t>
      </w:r>
      <w:r w:rsidR="004E41A0" w:rsidRPr="00F932AF">
        <w:rPr>
          <w:color w:val="000000"/>
        </w:rPr>
        <w:t xml:space="preserve">26, eff June 23, 2010. </w:t>
      </w: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AF">
        <w:rPr>
          <w:rFonts w:cs="Times New Roman"/>
          <w:b/>
          <w:color w:val="000000"/>
        </w:rPr>
        <w:t xml:space="preserve">SECTION </w:t>
      </w:r>
      <w:r w:rsidR="004E41A0" w:rsidRPr="00F932AF">
        <w:rPr>
          <w:rFonts w:cs="Times New Roman"/>
          <w:b/>
        </w:rPr>
        <w:t>12</w:t>
      </w:r>
      <w:r w:rsidRPr="00F932AF">
        <w:rPr>
          <w:rFonts w:cs="Times New Roman"/>
          <w:b/>
        </w:rPr>
        <w:noBreakHyphen/>
      </w:r>
      <w:r w:rsidR="004E41A0" w:rsidRPr="00F932AF">
        <w:rPr>
          <w:rFonts w:cs="Times New Roman"/>
          <w:b/>
        </w:rPr>
        <w:t>15</w:t>
      </w:r>
      <w:r w:rsidRPr="00F932AF">
        <w:rPr>
          <w:rFonts w:cs="Times New Roman"/>
          <w:b/>
        </w:rPr>
        <w:noBreakHyphen/>
      </w:r>
      <w:r w:rsidR="004E41A0" w:rsidRPr="00F932AF">
        <w:rPr>
          <w:rFonts w:cs="Times New Roman"/>
          <w:b/>
        </w:rPr>
        <w:t>40.</w:t>
      </w:r>
      <w:r w:rsidR="004E41A0" w:rsidRPr="00F932AF">
        <w:t xml:space="preserve"> Income tax allocation and apportionment agreement authorization. </w:t>
      </w:r>
    </w:p>
    <w:p w:rsid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AF" w:rsidRPr="00F932AF" w:rsidRDefault="004E41A0"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32AF">
        <w:rPr>
          <w:color w:val="000000"/>
        </w:rPr>
        <w:tab/>
        <w:t>In the case of a taxpayer establishing a facility meeting the requirements of Section 12</w:t>
      </w:r>
      <w:r w:rsidR="00F932AF" w:rsidRPr="00F932AF">
        <w:rPr>
          <w:color w:val="000000"/>
        </w:rPr>
        <w:noBreakHyphen/>
      </w:r>
      <w:r w:rsidRPr="00F932AF">
        <w:rPr>
          <w:color w:val="000000"/>
        </w:rPr>
        <w:t>15</w:t>
      </w:r>
      <w:r w:rsidR="00F932AF" w:rsidRPr="00F932AF">
        <w:rPr>
          <w:color w:val="000000"/>
        </w:rPr>
        <w:noBreakHyphen/>
      </w:r>
      <w:r w:rsidRPr="00F932AF">
        <w:rPr>
          <w:color w:val="000000"/>
        </w:rPr>
        <w:t>20, the South Carolina Department of Revenue, in its discretion, may enter into an agreement with the taxpayer pursuant to Section 12</w:t>
      </w:r>
      <w:r w:rsidR="00F932AF" w:rsidRPr="00F932AF">
        <w:rPr>
          <w:color w:val="000000"/>
        </w:rPr>
        <w:noBreakHyphen/>
      </w:r>
      <w:r w:rsidRPr="00F932AF">
        <w:rPr>
          <w:color w:val="000000"/>
        </w:rPr>
        <w:t>6</w:t>
      </w:r>
      <w:r w:rsidR="00F932AF" w:rsidRPr="00F932AF">
        <w:rPr>
          <w:color w:val="000000"/>
        </w:rPr>
        <w:noBreakHyphen/>
      </w:r>
      <w:r w:rsidRPr="00F932AF">
        <w:rPr>
          <w:color w:val="000000"/>
        </w:rPr>
        <w:t xml:space="preserve">2320 for a period not to exceed fifteen years if the facility otherwise meets the requirements of that section. </w:t>
      </w:r>
    </w:p>
    <w:p w:rsidR="00F932AF" w:rsidRPr="00F932AF" w:rsidRDefault="00F932AF"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885" w:rsidRDefault="00D16885"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41A0" w:rsidRPr="00F932AF">
        <w:rPr>
          <w:color w:val="000000"/>
        </w:rPr>
        <w:t xml:space="preserve">  2004 Act No. 187, </w:t>
      </w:r>
      <w:r w:rsidR="00F932AF" w:rsidRPr="00F932AF">
        <w:rPr>
          <w:color w:val="000000"/>
        </w:rPr>
        <w:t xml:space="preserve">Section </w:t>
      </w:r>
      <w:r w:rsidR="004E41A0" w:rsidRPr="00F932AF">
        <w:rPr>
          <w:color w:val="000000"/>
        </w:rPr>
        <w:t xml:space="preserve">1.(D), eff March 17, 2004;  2010 Act No. 290, </w:t>
      </w:r>
      <w:r w:rsidR="00F932AF" w:rsidRPr="00F932AF">
        <w:rPr>
          <w:color w:val="000000"/>
        </w:rPr>
        <w:t xml:space="preserve">Section </w:t>
      </w:r>
      <w:r w:rsidR="004E41A0" w:rsidRPr="00F932AF">
        <w:rPr>
          <w:color w:val="000000"/>
        </w:rPr>
        <w:t xml:space="preserve">27, eff June 23, 2010. </w:t>
      </w:r>
    </w:p>
    <w:p w:rsidR="00D16885" w:rsidRDefault="00D16885"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32AF" w:rsidRDefault="00184435" w:rsidP="00F93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32AF" w:rsidSect="00F932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2AF" w:rsidRDefault="00F932AF" w:rsidP="00F932AF">
      <w:r>
        <w:separator/>
      </w:r>
    </w:p>
  </w:endnote>
  <w:endnote w:type="continuationSeparator" w:id="0">
    <w:p w:rsidR="00F932AF" w:rsidRDefault="00F932AF" w:rsidP="00F93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AF" w:rsidRPr="00F932AF" w:rsidRDefault="00F932AF" w:rsidP="00F932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AF" w:rsidRPr="00F932AF" w:rsidRDefault="00F932AF" w:rsidP="00F932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AF" w:rsidRPr="00F932AF" w:rsidRDefault="00F932AF" w:rsidP="00F93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2AF" w:rsidRDefault="00F932AF" w:rsidP="00F932AF">
      <w:r>
        <w:separator/>
      </w:r>
    </w:p>
  </w:footnote>
  <w:footnote w:type="continuationSeparator" w:id="0">
    <w:p w:rsidR="00F932AF" w:rsidRDefault="00F932AF" w:rsidP="00F93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AF" w:rsidRPr="00F932AF" w:rsidRDefault="00F932AF" w:rsidP="00F932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AF" w:rsidRPr="00F932AF" w:rsidRDefault="00F932AF" w:rsidP="00F932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AF" w:rsidRPr="00F932AF" w:rsidRDefault="00F932AF" w:rsidP="00F932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41A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41A0"/>
    <w:rsid w:val="0050696E"/>
    <w:rsid w:val="005617DC"/>
    <w:rsid w:val="00565387"/>
    <w:rsid w:val="00573F2E"/>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5A8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6885"/>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32AF"/>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2AF"/>
    <w:pPr>
      <w:tabs>
        <w:tab w:val="center" w:pos="4680"/>
        <w:tab w:val="right" w:pos="9360"/>
      </w:tabs>
    </w:pPr>
  </w:style>
  <w:style w:type="character" w:customStyle="1" w:styleId="HeaderChar">
    <w:name w:val="Header Char"/>
    <w:basedOn w:val="DefaultParagraphFont"/>
    <w:link w:val="Header"/>
    <w:uiPriority w:val="99"/>
    <w:semiHidden/>
    <w:rsid w:val="00F932AF"/>
  </w:style>
  <w:style w:type="paragraph" w:styleId="Footer">
    <w:name w:val="footer"/>
    <w:basedOn w:val="Normal"/>
    <w:link w:val="FooterChar"/>
    <w:uiPriority w:val="99"/>
    <w:semiHidden/>
    <w:unhideWhenUsed/>
    <w:rsid w:val="00F932AF"/>
    <w:pPr>
      <w:tabs>
        <w:tab w:val="center" w:pos="4680"/>
        <w:tab w:val="right" w:pos="9360"/>
      </w:tabs>
    </w:pPr>
  </w:style>
  <w:style w:type="character" w:customStyle="1" w:styleId="FooterChar">
    <w:name w:val="Footer Char"/>
    <w:basedOn w:val="DefaultParagraphFont"/>
    <w:link w:val="Footer"/>
    <w:uiPriority w:val="99"/>
    <w:semiHidden/>
    <w:rsid w:val="00F932AF"/>
  </w:style>
  <w:style w:type="paragraph" w:styleId="BalloonText">
    <w:name w:val="Balloon Text"/>
    <w:basedOn w:val="Normal"/>
    <w:link w:val="BalloonTextChar"/>
    <w:uiPriority w:val="99"/>
    <w:semiHidden/>
    <w:unhideWhenUsed/>
    <w:rsid w:val="00F932AF"/>
    <w:rPr>
      <w:rFonts w:ascii="Tahoma" w:hAnsi="Tahoma" w:cs="Tahoma"/>
      <w:sz w:val="16"/>
      <w:szCs w:val="16"/>
    </w:rPr>
  </w:style>
  <w:style w:type="character" w:customStyle="1" w:styleId="BalloonTextChar">
    <w:name w:val="Balloon Text Char"/>
    <w:basedOn w:val="DefaultParagraphFont"/>
    <w:link w:val="BalloonText"/>
    <w:uiPriority w:val="99"/>
    <w:semiHidden/>
    <w:rsid w:val="00F932AF"/>
    <w:rPr>
      <w:rFonts w:ascii="Tahoma" w:hAnsi="Tahoma" w:cs="Tahoma"/>
      <w:sz w:val="16"/>
      <w:szCs w:val="16"/>
    </w:rPr>
  </w:style>
  <w:style w:type="character" w:styleId="Hyperlink">
    <w:name w:val="Hyperlink"/>
    <w:basedOn w:val="DefaultParagraphFont"/>
    <w:semiHidden/>
    <w:rsid w:val="00D168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4915</Characters>
  <Application>Microsoft Office Word</Application>
  <DocSecurity>0</DocSecurity>
  <Lines>40</Lines>
  <Paragraphs>11</Paragraphs>
  <ScaleCrop>false</ScaleCrop>
  <Company>LPITS</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2013-01-07T17:08:00Z</dcterms:modified>
</cp:coreProperties>
</file>