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D4" w:rsidRPr="002974FF" w:rsidRDefault="006757D4">
      <w:pPr>
        <w:jc w:val="center"/>
      </w:pPr>
      <w:r w:rsidRPr="002974FF">
        <w:t>DISCLAIMER</w:t>
      </w:r>
    </w:p>
    <w:p w:rsidR="006757D4" w:rsidRPr="002974FF" w:rsidRDefault="006757D4"/>
    <w:p w:rsidR="006757D4" w:rsidRPr="002974FF" w:rsidRDefault="006757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757D4" w:rsidRPr="002974FF" w:rsidRDefault="006757D4"/>
    <w:p w:rsidR="006757D4" w:rsidRPr="002974FF" w:rsidRDefault="006757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7D4" w:rsidRPr="002974FF" w:rsidRDefault="006757D4"/>
    <w:p w:rsidR="006757D4" w:rsidRPr="002974FF" w:rsidRDefault="006757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7D4" w:rsidRPr="002974FF" w:rsidRDefault="006757D4"/>
    <w:p w:rsidR="006757D4" w:rsidRPr="002974FF" w:rsidRDefault="006757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757D4" w:rsidRDefault="006757D4">
      <w:r>
        <w:br w:type="page"/>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3ECC">
        <w:lastRenderedPageBreak/>
        <w:t>CHAPTER 6</w:t>
      </w:r>
    </w:p>
    <w:p w:rsidR="001550D4" w:rsidRP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3ECC">
        <w:t>Uniform Transfer on Death Security Registration Act</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10.</w:t>
      </w:r>
      <w:r w:rsidR="005022CB" w:rsidRPr="00033ECC">
        <w:t xml:space="preserve"> Short title; definitions.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(A) This chapter may be cited as the Uniform Transfer on Death Security Registration Act.</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(B) As used in this chapter:</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(1) </w:t>
      </w:r>
      <w:r w:rsidR="00033ECC" w:rsidRPr="00033ECC">
        <w:t>“</w:t>
      </w:r>
      <w:r w:rsidRPr="00033ECC">
        <w:t>Beneficiary form</w:t>
      </w:r>
      <w:r w:rsidR="00033ECC" w:rsidRPr="00033ECC">
        <w:t>”</w:t>
      </w:r>
      <w:r w:rsidRPr="00033ECC">
        <w:t xml:space="preserve"> means a registration of a security which indicates the present owner of the security and the intention of the owner regarding the person who will become the owner of the security upon the death of the owner.</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(2) </w:t>
      </w:r>
      <w:r w:rsidR="00033ECC" w:rsidRPr="00033ECC">
        <w:t>“</w:t>
      </w:r>
      <w:r w:rsidRPr="00033ECC">
        <w:t>Devisee</w:t>
      </w:r>
      <w:r w:rsidR="00033ECC" w:rsidRPr="00033ECC">
        <w:t>”</w:t>
      </w:r>
      <w:r w:rsidRPr="00033ECC">
        <w:t xml:space="preserve"> means a person designated in a will to receive a disposition of property.</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(3) </w:t>
      </w:r>
      <w:r w:rsidR="00033ECC" w:rsidRPr="00033ECC">
        <w:t>“</w:t>
      </w:r>
      <w:r w:rsidRPr="00033ECC">
        <w:t>Heirs</w:t>
      </w:r>
      <w:r w:rsidR="00033ECC" w:rsidRPr="00033ECC">
        <w:t>”</w:t>
      </w:r>
      <w:r w:rsidRPr="00033ECC">
        <w:t xml:space="preserve"> means those persons, including the surviving spouse, who are entitled under the laws of intestate succession to the property of a decedent.</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(4) </w:t>
      </w:r>
      <w:r w:rsidR="00033ECC" w:rsidRPr="00033ECC">
        <w:t>“</w:t>
      </w:r>
      <w:r w:rsidRPr="00033ECC">
        <w:t>Person</w:t>
      </w:r>
      <w:r w:rsidR="00033ECC" w:rsidRPr="00033ECC">
        <w:t>”</w:t>
      </w:r>
      <w:r w:rsidRPr="00033ECC">
        <w:t xml:space="preserve"> means an individual, a corporation, an organization, or other legal entity.</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(5) </w:t>
      </w:r>
      <w:r w:rsidR="00033ECC" w:rsidRPr="00033ECC">
        <w:t>“</w:t>
      </w:r>
      <w:r w:rsidRPr="00033ECC">
        <w:t>Personal representative</w:t>
      </w:r>
      <w:r w:rsidR="00033ECC" w:rsidRPr="00033ECC">
        <w:t>”</w:t>
      </w:r>
      <w:r w:rsidRPr="00033ECC">
        <w:t xml:space="preserve"> includes a personal representative, administrator, or other person who performs substantially the same functions by law.</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(6) </w:t>
      </w:r>
      <w:r w:rsidR="00033ECC" w:rsidRPr="00033ECC">
        <w:t>“</w:t>
      </w:r>
      <w:r w:rsidRPr="00033ECC">
        <w:t>Register</w:t>
      </w:r>
      <w:r w:rsidR="00033ECC" w:rsidRPr="00033ECC">
        <w:t>”</w:t>
      </w:r>
      <w:r w:rsidRPr="00033ECC">
        <w:t>, including its derivatives, means to issue a certificate showing the ownership of a certificated security or, in the case of an uncertificated security, to initiate or transfer an account showing ownership of securities.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(7) </w:t>
      </w:r>
      <w:r w:rsidR="00033ECC" w:rsidRPr="00033ECC">
        <w:t>“</w:t>
      </w:r>
      <w:r w:rsidRPr="00033ECC">
        <w:t>Registration entity</w:t>
      </w:r>
      <w:r w:rsidR="00033ECC" w:rsidRPr="00033ECC">
        <w:t>”</w:t>
      </w:r>
      <w:r w:rsidRPr="00033ECC">
        <w:t xml:space="preserve"> means a person who originates or transfers a security title by registration, and includes a broker maintaining security accounts for customers and a transfer agent or other person acting for or as an issuer of securities.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(8) </w:t>
      </w:r>
      <w:r w:rsidR="00033ECC" w:rsidRPr="00033ECC">
        <w:t>“</w:t>
      </w:r>
      <w:r w:rsidRPr="00033ECC">
        <w:t>Security</w:t>
      </w:r>
      <w:r w:rsidR="00033ECC" w:rsidRPr="00033ECC">
        <w:t>”</w:t>
      </w:r>
      <w:r w:rsidRPr="00033ECC">
        <w:t xml:space="preserve"> means and is defined as provided in Section 35</w:t>
      </w:r>
      <w:r w:rsidR="00033ECC" w:rsidRPr="00033ECC">
        <w:noBreakHyphen/>
      </w:r>
      <w:r w:rsidRPr="00033ECC">
        <w:t>1</w:t>
      </w:r>
      <w:r w:rsidR="00033ECC" w:rsidRPr="00033ECC">
        <w:noBreakHyphen/>
      </w:r>
      <w:r w:rsidRPr="00033ECC">
        <w:t>102(28) and as a security account.</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(9) </w:t>
      </w:r>
      <w:r w:rsidR="00033ECC" w:rsidRPr="00033ECC">
        <w:t>“</w:t>
      </w:r>
      <w:r w:rsidRPr="00033ECC">
        <w:t>Security account</w:t>
      </w:r>
      <w:r w:rsidR="00033ECC" w:rsidRPr="00033ECC">
        <w:t>”</w:t>
      </w:r>
      <w:r w:rsidRPr="00033ECC">
        <w:t xml:space="preserve"> means: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r>
      <w:r w:rsidRPr="00033ECC">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033ECC" w:rsidRPr="00033ECC">
        <w:t>’</w:t>
      </w:r>
      <w:r w:rsidRPr="00033ECC">
        <w:t>s death; or</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r>
      <w:r w:rsidRPr="00033ECC">
        <w:tab/>
        <w:t>(b) a cash balance or other property held for or due to the owner of a security as a replacement for or product of an account security, whether or not credited to the account before the owner</w:t>
      </w:r>
      <w:r w:rsidR="00033ECC" w:rsidRPr="00033ECC">
        <w:t>’</w:t>
      </w:r>
      <w:r w:rsidRPr="00033ECC">
        <w:t>s death.</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r>
      <w:r w:rsidRPr="00033ECC">
        <w:tab/>
        <w:t xml:space="preserve">(10) </w:t>
      </w:r>
      <w:r w:rsidR="00033ECC" w:rsidRPr="00033ECC">
        <w:t>“</w:t>
      </w:r>
      <w:r w:rsidRPr="00033ECC">
        <w:t>State</w:t>
      </w:r>
      <w:r w:rsidR="00033ECC" w:rsidRPr="00033ECC">
        <w:t>”</w:t>
      </w:r>
      <w:r w:rsidRPr="00033ECC">
        <w:t xml:space="preserve"> includes any state of the United States, the District of Columbia, the Commonwealth of Puerto Rico, and any territory or possession subject to the legislative authority of the United States.</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 xml:space="preserve">1, eff June 13, 1997; 2005 Act No. 110, </w:t>
      </w:r>
      <w:r w:rsidR="00033ECC" w:rsidRPr="00033ECC">
        <w:t xml:space="preserve">Section </w:t>
      </w:r>
      <w:r w:rsidR="005022CB" w:rsidRPr="00033ECC">
        <w:t>3, eff January 1, 2006.</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20.</w:t>
      </w:r>
      <w:r w:rsidR="005022CB" w:rsidRPr="00033ECC">
        <w:t xml:space="preserve"> Individuals eligible to obtain registration in beneficiary form; multiple owners of security.</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30.</w:t>
      </w:r>
      <w:r w:rsidR="005022CB" w:rsidRPr="00033ECC">
        <w:t xml:space="preserve"> Security allowed to be registered in beneficiary form when form authorized by certain laws; presumption of validity.</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A security may be registered in beneficiary form, if the form is authorized by this chapter, by the laws of the state of organization of the issuer or registering entity; by the laws of the state of the location of the registering entity</w:t>
      </w:r>
      <w:r w:rsidR="00033ECC" w:rsidRPr="00033ECC">
        <w:t>’</w:t>
      </w:r>
      <w:r w:rsidRPr="00033ECC">
        <w:t>s principal office, the office of its transfer agent, or its office making the registration; or by the laws of the state listed as the owner</w:t>
      </w:r>
      <w:r w:rsidR="00033ECC" w:rsidRPr="00033ECC">
        <w:t>’</w:t>
      </w:r>
      <w:r w:rsidRPr="00033ECC">
        <w:t xml:space="preserve">s address at the time of registration. A registration governed by the law of a jurisdiction in which these provisions are not in force or was not in force when a registration </w:t>
      </w:r>
      <w:r w:rsidRPr="00033ECC">
        <w:lastRenderedPageBreak/>
        <w:t>in beneficiary form was made is nevertheless presumed to be valid and authorized as a matter of contract law.</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40.</w:t>
      </w:r>
      <w:r w:rsidR="005022CB" w:rsidRPr="00033ECC">
        <w:t xml:space="preserve"> Designation of beneficiary to take ownership upon death of owner or owners to be included for security to be registered in beneficiary form.</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A security, whether evidenced by a certificate or account, is registered in beneficiary form when the registration includes a designation of a beneficiary to take ownership at the death of the owner or the death of all multiple owners.</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50.</w:t>
      </w:r>
      <w:r w:rsidR="005022CB" w:rsidRPr="00033ECC">
        <w:t xml:space="preserve"> Certain words signify registration in beneficiary form.</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 xml:space="preserve">Registration in beneficiary form may be shown by the words, </w:t>
      </w:r>
      <w:r w:rsidR="00033ECC" w:rsidRPr="00033ECC">
        <w:t>“</w:t>
      </w:r>
      <w:r w:rsidRPr="00033ECC">
        <w:t>transfer on death</w:t>
      </w:r>
      <w:r w:rsidR="00033ECC" w:rsidRPr="00033ECC">
        <w:t>”</w:t>
      </w:r>
      <w:r w:rsidRPr="00033ECC">
        <w:t xml:space="preserve"> or the abbreviation </w:t>
      </w:r>
      <w:r w:rsidR="00033ECC" w:rsidRPr="00033ECC">
        <w:t>“</w:t>
      </w:r>
      <w:r w:rsidRPr="00033ECC">
        <w:t>TOD</w:t>
      </w:r>
      <w:r w:rsidR="00033ECC" w:rsidRPr="00033ECC">
        <w:t>”</w:t>
      </w:r>
      <w:r w:rsidRPr="00033ECC">
        <w:t xml:space="preserve">, or by the words </w:t>
      </w:r>
      <w:r w:rsidR="00033ECC" w:rsidRPr="00033ECC">
        <w:t>“</w:t>
      </w:r>
      <w:r w:rsidRPr="00033ECC">
        <w:t>pay on death</w:t>
      </w:r>
      <w:r w:rsidR="00033ECC" w:rsidRPr="00033ECC">
        <w:t>”</w:t>
      </w:r>
      <w:r w:rsidRPr="00033ECC">
        <w:t xml:space="preserve"> or the abbreviation </w:t>
      </w:r>
      <w:r w:rsidR="00033ECC" w:rsidRPr="00033ECC">
        <w:t>“</w:t>
      </w:r>
      <w:r w:rsidRPr="00033ECC">
        <w:t>POD</w:t>
      </w:r>
      <w:r w:rsidR="00033ECC" w:rsidRPr="00033ECC">
        <w:t>”</w:t>
      </w:r>
      <w:r w:rsidRPr="00033ECC">
        <w:t>, after the name of the registered owner and before the name of a beneficiary.</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60.</w:t>
      </w:r>
      <w:r w:rsidR="005022CB" w:rsidRPr="00033ECC">
        <w:t xml:space="preserve"> Ownership not affected until owner</w:t>
      </w:r>
      <w:r w:rsidR="00033ECC" w:rsidRPr="00033ECC">
        <w:t>’</w:t>
      </w:r>
      <w:r w:rsidR="005022CB" w:rsidRPr="00033ECC">
        <w:t>s death; cancellation or change.</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The designation of a transfer on death beneficiary on a registration in beneficiary form has no effect on ownership until the owner</w:t>
      </w:r>
      <w:r w:rsidR="00033ECC" w:rsidRPr="00033ECC">
        <w:t>’</w:t>
      </w:r>
      <w:r w:rsidRPr="00033ECC">
        <w:t>s death. A registration of a security in beneficiary form may be canceled or changed at any time by the sole owner or all then surviving owners, without the consent of the beneficiary.</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70.</w:t>
      </w:r>
      <w:r w:rsidR="005022CB" w:rsidRPr="00033ECC">
        <w:t xml:space="preserve"> Death of sole owner or last of multiple owners; passing of ownership; reregistration; lack of surviving beneficiary.</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80.</w:t>
      </w:r>
      <w:r w:rsidR="005022CB" w:rsidRPr="00033ECC">
        <w:t xml:space="preserve"> Registering entities; duties and protections.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(B) By accepting a request for registration of a security in beneficiary form, the registering entity agrees that the registration will be implemented on death of the deceased owner as provided in this chapter.</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(C) A registering entity is discharged from all claims to a security by the estate, creditors, heirs, or devises of a deceased owner if it registers a transfer of a security in accordance with Section 35</w:t>
      </w:r>
      <w:r w:rsidR="00033ECC" w:rsidRPr="00033ECC">
        <w:noBreakHyphen/>
      </w:r>
      <w:r w:rsidRPr="00033ECC">
        <w:t>6</w:t>
      </w:r>
      <w:r w:rsidR="00033ECC" w:rsidRPr="00033ECC">
        <w:noBreakHyphen/>
      </w:r>
      <w:r w:rsidRPr="00033ECC">
        <w:t>70 and does so in good faith reliance (1) on the registration, (2) on this chapter, and (3) on information provided to it by affidavit of the personal representative of the deceased owner, or by the surviving beneficiary or by the surviving beneficiary</w:t>
      </w:r>
      <w:r w:rsidR="00033ECC" w:rsidRPr="00033ECC">
        <w:t>’</w:t>
      </w:r>
      <w:r w:rsidRPr="00033ECC">
        <w:t xml:space="preserve">s representatives, or other information available to the registering entity. The </w:t>
      </w:r>
      <w:r w:rsidRPr="00033ECC">
        <w:lastRenderedPageBreak/>
        <w:t>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(D) The protection provided by this chapter to the registering entity of a security does not affect the rights of beneficiaries in disputes between themselves and other claimants to ownership of the security transferred or its value of proceeds.</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90.</w:t>
      </w:r>
      <w:r w:rsidR="005022CB" w:rsidRPr="00033ECC">
        <w:t xml:space="preserve"> Effectiveness of transfer on death by reason of contract; effect of chapter on rights of creditors of security owners against beneficiaries and transferees.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(A) A transfer on death resulting from a registration in beneficiary form is effective by reason of the contract regarding the registration between the owner and the registering entity and this chapter and is not testamentary.</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(B) This chapter does not limit the rights of creditors of security owners against beneficiaries and other transferees under other laws of this State.</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2CB" w:rsidRPr="00033ECC">
        <w:t xml:space="preserve">: 1997 Act No. 102, </w:t>
      </w:r>
      <w:r w:rsidR="00033ECC" w:rsidRPr="00033ECC">
        <w:t xml:space="preserve">Section </w:t>
      </w:r>
      <w:r w:rsidR="005022CB" w:rsidRPr="00033ECC">
        <w:t>1, eff June 13, 1997.</w:t>
      </w:r>
    </w:p>
    <w:p w:rsidR="001550D4" w:rsidRP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0D4">
        <w:rPr>
          <w:b/>
        </w:rPr>
        <w:t>SECTION</w:t>
      </w:r>
      <w:r w:rsidR="00033ECC" w:rsidRPr="00033ECC">
        <w:rPr>
          <w:rFonts w:cs="Times New Roman"/>
          <w:b/>
        </w:rPr>
        <w:t xml:space="preserve"> </w:t>
      </w:r>
      <w:r w:rsidR="005022CB" w:rsidRPr="00033ECC">
        <w:rPr>
          <w:rFonts w:cs="Times New Roman"/>
          <w:b/>
        </w:rPr>
        <w:t>35</w:t>
      </w:r>
      <w:r w:rsidR="00033ECC" w:rsidRPr="00033ECC">
        <w:rPr>
          <w:rFonts w:cs="Times New Roman"/>
          <w:b/>
        </w:rPr>
        <w:noBreakHyphen/>
      </w:r>
      <w:r w:rsidR="005022CB" w:rsidRPr="00033ECC">
        <w:rPr>
          <w:rFonts w:cs="Times New Roman"/>
          <w:b/>
        </w:rPr>
        <w:t>6</w:t>
      </w:r>
      <w:r w:rsidR="00033ECC" w:rsidRPr="00033ECC">
        <w:rPr>
          <w:rFonts w:cs="Times New Roman"/>
          <w:b/>
        </w:rPr>
        <w:noBreakHyphen/>
      </w:r>
      <w:r w:rsidR="005022CB" w:rsidRPr="00033ECC">
        <w:rPr>
          <w:rFonts w:cs="Times New Roman"/>
          <w:b/>
        </w:rPr>
        <w:t>100.</w:t>
      </w:r>
      <w:r w:rsidR="005022CB" w:rsidRPr="00033ECC">
        <w:t xml:space="preserve"> Registering entities; establishment of terms and conditions under which they will receive requests.</w:t>
      </w:r>
    </w:p>
    <w:p w:rsidR="001550D4" w:rsidRDefault="005022CB"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ECC">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033ECC" w:rsidRPr="00033ECC">
        <w:t>’</w:t>
      </w:r>
      <w:r w:rsidRPr="00033ECC">
        <w:t>s descendants to take in the place of the named beneficiary in the event of the beneficiary</w:t>
      </w:r>
      <w:r w:rsidR="00033ECC" w:rsidRPr="00033ECC">
        <w:t>’</w:t>
      </w:r>
      <w:r w:rsidRPr="00033ECC">
        <w:t xml:space="preserve">s death. Substitution may be indicated by appending to the name of the primary beneficiary the letters </w:t>
      </w:r>
      <w:r w:rsidR="00033ECC" w:rsidRPr="00033ECC">
        <w:t>“</w:t>
      </w:r>
      <w:r w:rsidRPr="00033ECC">
        <w:t>LDPS</w:t>
      </w:r>
      <w:r w:rsidR="00033ECC" w:rsidRPr="00033ECC">
        <w:t>”</w:t>
      </w:r>
      <w:r w:rsidRPr="00033ECC">
        <w:t xml:space="preserve">, standing for </w:t>
      </w:r>
      <w:r w:rsidR="00033ECC" w:rsidRPr="00033ECC">
        <w:t>“</w:t>
      </w:r>
      <w:r w:rsidRPr="00033ECC">
        <w:t>lineal descendants per stirpes</w:t>
      </w:r>
      <w:r w:rsidR="00033ECC" w:rsidRPr="00033ECC">
        <w:t>”</w:t>
      </w:r>
      <w:r w:rsidRPr="00033ECC">
        <w:t>. This designation substitutes a deceased beneficiary</w:t>
      </w:r>
      <w:r w:rsidR="00033ECC" w:rsidRPr="00033ECC">
        <w:t>’</w:t>
      </w:r>
      <w:r w:rsidRPr="00033ECC">
        <w:t>s descendants who survive the owner for a beneficiary who fails to so survive, the descendants to be identified and to share in accordance with the law of the beneficiary</w:t>
      </w:r>
      <w:r w:rsidR="00033ECC" w:rsidRPr="00033ECC">
        <w:t>’</w:t>
      </w:r>
      <w:r w:rsidRPr="00033ECC">
        <w:t>s domicile at the owner</w:t>
      </w:r>
      <w:r w:rsidR="00033ECC" w:rsidRPr="00033ECC">
        <w:t>’</w:t>
      </w:r>
      <w:r w:rsidRPr="00033ECC">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033ECC" w:rsidRPr="00033ECC">
        <w:t>’</w:t>
      </w:r>
      <w:r w:rsidRPr="00033ECC">
        <w:t>s terms and conditions.</w:t>
      </w: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0D4" w:rsidRDefault="001550D4"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2CB" w:rsidRPr="00033ECC">
        <w:t xml:space="preserve">: 1997 Act No. 102, </w:t>
      </w:r>
      <w:r w:rsidR="00033ECC" w:rsidRPr="00033ECC">
        <w:t xml:space="preserve">Section </w:t>
      </w:r>
      <w:r w:rsidR="005022CB" w:rsidRPr="00033ECC">
        <w:t>1, eff June 13, 1997.</w:t>
      </w:r>
    </w:p>
    <w:p w:rsidR="00184435" w:rsidRPr="00033ECC" w:rsidRDefault="00184435" w:rsidP="0003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3ECC" w:rsidSect="00033E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ECC" w:rsidRDefault="00033ECC" w:rsidP="00033ECC">
      <w:r>
        <w:separator/>
      </w:r>
    </w:p>
  </w:endnote>
  <w:endnote w:type="continuationSeparator" w:id="0">
    <w:p w:rsidR="00033ECC" w:rsidRDefault="00033ECC" w:rsidP="0003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CC" w:rsidRPr="00033ECC" w:rsidRDefault="00033ECC" w:rsidP="00033E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CC" w:rsidRPr="00033ECC" w:rsidRDefault="00033ECC" w:rsidP="00033E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CC" w:rsidRPr="00033ECC" w:rsidRDefault="00033ECC" w:rsidP="00033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ECC" w:rsidRDefault="00033ECC" w:rsidP="00033ECC">
      <w:r>
        <w:separator/>
      </w:r>
    </w:p>
  </w:footnote>
  <w:footnote w:type="continuationSeparator" w:id="0">
    <w:p w:rsidR="00033ECC" w:rsidRDefault="00033ECC" w:rsidP="00033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CC" w:rsidRPr="00033ECC" w:rsidRDefault="00033ECC" w:rsidP="00033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CC" w:rsidRPr="00033ECC" w:rsidRDefault="00033ECC" w:rsidP="00033E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CC" w:rsidRPr="00033ECC" w:rsidRDefault="00033ECC" w:rsidP="00033E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CB"/>
    <w:rsid w:val="000065F4"/>
    <w:rsid w:val="00013F41"/>
    <w:rsid w:val="00025E41"/>
    <w:rsid w:val="00032BBE"/>
    <w:rsid w:val="00033ECC"/>
    <w:rsid w:val="0007300D"/>
    <w:rsid w:val="00093290"/>
    <w:rsid w:val="0009512B"/>
    <w:rsid w:val="000B3C22"/>
    <w:rsid w:val="000C162E"/>
    <w:rsid w:val="000D09A6"/>
    <w:rsid w:val="000E046A"/>
    <w:rsid w:val="00105482"/>
    <w:rsid w:val="0010793D"/>
    <w:rsid w:val="00145212"/>
    <w:rsid w:val="001506AE"/>
    <w:rsid w:val="001550D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22C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7D4"/>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417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D0F6E-6E00-4767-96AD-7D9E27F6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22C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022CB"/>
    <w:rPr>
      <w:rFonts w:ascii="Consolas" w:hAnsi="Consolas" w:cs="Consolas"/>
      <w:sz w:val="21"/>
      <w:szCs w:val="21"/>
    </w:rPr>
  </w:style>
  <w:style w:type="paragraph" w:styleId="Header">
    <w:name w:val="header"/>
    <w:basedOn w:val="Normal"/>
    <w:link w:val="HeaderChar"/>
    <w:uiPriority w:val="99"/>
    <w:unhideWhenUsed/>
    <w:rsid w:val="00033ECC"/>
    <w:pPr>
      <w:tabs>
        <w:tab w:val="center" w:pos="4680"/>
        <w:tab w:val="right" w:pos="9360"/>
      </w:tabs>
    </w:pPr>
  </w:style>
  <w:style w:type="character" w:customStyle="1" w:styleId="HeaderChar">
    <w:name w:val="Header Char"/>
    <w:basedOn w:val="DefaultParagraphFont"/>
    <w:link w:val="Header"/>
    <w:uiPriority w:val="99"/>
    <w:rsid w:val="00033ECC"/>
  </w:style>
  <w:style w:type="paragraph" w:styleId="Footer">
    <w:name w:val="footer"/>
    <w:basedOn w:val="Normal"/>
    <w:link w:val="FooterChar"/>
    <w:uiPriority w:val="99"/>
    <w:unhideWhenUsed/>
    <w:rsid w:val="00033ECC"/>
    <w:pPr>
      <w:tabs>
        <w:tab w:val="center" w:pos="4680"/>
        <w:tab w:val="right" w:pos="9360"/>
      </w:tabs>
    </w:pPr>
  </w:style>
  <w:style w:type="character" w:customStyle="1" w:styleId="FooterChar">
    <w:name w:val="Footer Char"/>
    <w:basedOn w:val="DefaultParagraphFont"/>
    <w:link w:val="Footer"/>
    <w:uiPriority w:val="99"/>
    <w:rsid w:val="00033ECC"/>
  </w:style>
  <w:style w:type="character" w:styleId="Hyperlink">
    <w:name w:val="Hyperlink"/>
    <w:basedOn w:val="DefaultParagraphFont"/>
    <w:semiHidden/>
    <w:rsid w:val="00675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1807</Words>
  <Characters>10303</Characters>
  <Application>Microsoft Office Word</Application>
  <DocSecurity>0</DocSecurity>
  <Lines>85</Lines>
  <Paragraphs>24</Paragraphs>
  <ScaleCrop>false</ScaleCrop>
  <Company>Legislative Services Agency (LSA)</Company>
  <LinksUpToDate>false</LinksUpToDate>
  <CharactersWithSpaces>12086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