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087" w:rsidRPr="002974FF" w:rsidRDefault="00255087">
      <w:pPr>
        <w:jc w:val="center"/>
      </w:pPr>
      <w:r w:rsidRPr="002974FF">
        <w:t>DISCLAIMER</w:t>
      </w:r>
    </w:p>
    <w:p w:rsidR="00255087" w:rsidRPr="002974FF" w:rsidRDefault="00255087"/>
    <w:p w:rsidR="00255087" w:rsidRDefault="0025508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55087" w:rsidRDefault="00255087" w:rsidP="00D86E37"/>
    <w:p w:rsidR="00255087" w:rsidRDefault="0025508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5087" w:rsidRDefault="00255087" w:rsidP="00D86E37"/>
    <w:p w:rsidR="00255087" w:rsidRDefault="0025508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5087" w:rsidRDefault="00255087" w:rsidP="00D86E37"/>
    <w:p w:rsidR="00255087" w:rsidRDefault="0025508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55087" w:rsidRDefault="00255087">
      <w:pPr>
        <w:widowControl/>
        <w:tabs>
          <w:tab w:val="clear" w:pos="720"/>
        </w:tabs>
      </w:pPr>
      <w:r>
        <w:br w:type="page"/>
      </w:r>
    </w:p>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1CEE">
        <w:t>CHAPTER 1</w:t>
      </w:r>
    </w:p>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1CEE">
        <w:t>General Provisions [Repealed]</w:t>
      </w:r>
    </w:p>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 xml:space="preserve">Chapter 1 was repealed by 1996 Act No. 415, </w:t>
      </w:r>
      <w:r w:rsidR="00C41CEE" w:rsidRPr="00C41CEE">
        <w:t xml:space="preserve">Section </w:t>
      </w:r>
      <w:r w:rsidRPr="00C41CEE">
        <w:t>5, effective January 1, 1997.</w:t>
      </w:r>
    </w:p>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The following conversion table is published for the convenience of the users of the Code of Laws of South Carolina, 1976:</w:t>
      </w:r>
    </w:p>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3860"/>
        <w:gridCol w:w="4020"/>
      </w:tblGrid>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Former Section</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Recodified Section</w:t>
            </w:r>
          </w:p>
        </w:tc>
      </w:tr>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61</w:t>
            </w:r>
            <w:r w:rsidR="00C41CEE" w:rsidRPr="00C41CEE">
              <w:noBreakHyphen/>
            </w:r>
            <w:r w:rsidRPr="00C41CEE">
              <w:t>1</w:t>
            </w:r>
            <w:r w:rsidR="00C41CEE" w:rsidRPr="00C41CEE">
              <w:noBreakHyphen/>
            </w:r>
            <w:r w:rsidRPr="00C41CEE">
              <w:t xml:space="preserve">10 </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61</w:t>
            </w:r>
            <w:r w:rsidR="00C41CEE" w:rsidRPr="00C41CEE">
              <w:noBreakHyphen/>
            </w:r>
            <w:r w:rsidRPr="00C41CEE">
              <w:t>2</w:t>
            </w:r>
            <w:r w:rsidR="00C41CEE" w:rsidRPr="00C41CEE">
              <w:noBreakHyphen/>
            </w:r>
            <w:r w:rsidRPr="00C41CEE">
              <w:t>10</w:t>
            </w:r>
          </w:p>
        </w:tc>
      </w:tr>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61</w:t>
            </w:r>
            <w:r w:rsidR="00C41CEE" w:rsidRPr="00C41CEE">
              <w:noBreakHyphen/>
            </w:r>
            <w:r w:rsidRPr="00C41CEE">
              <w:t>1</w:t>
            </w:r>
            <w:r w:rsidR="00C41CEE" w:rsidRPr="00C41CEE">
              <w:noBreakHyphen/>
            </w:r>
            <w:r w:rsidRPr="00C41CEE">
              <w:t xml:space="preserve">60 </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61</w:t>
            </w:r>
            <w:r w:rsidR="00C41CEE" w:rsidRPr="00C41CEE">
              <w:noBreakHyphen/>
            </w:r>
            <w:r w:rsidRPr="00C41CEE">
              <w:t>2</w:t>
            </w:r>
            <w:r w:rsidR="00C41CEE" w:rsidRPr="00C41CEE">
              <w:noBreakHyphen/>
            </w:r>
            <w:r w:rsidRPr="00C41CEE">
              <w:t>30</w:t>
            </w:r>
          </w:p>
        </w:tc>
      </w:tr>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61</w:t>
            </w:r>
            <w:r w:rsidR="00C41CEE" w:rsidRPr="00C41CEE">
              <w:noBreakHyphen/>
            </w:r>
            <w:r w:rsidRPr="00C41CEE">
              <w:t>1</w:t>
            </w:r>
            <w:r w:rsidR="00C41CEE" w:rsidRPr="00C41CEE">
              <w:noBreakHyphen/>
            </w:r>
            <w:r w:rsidRPr="00C41CEE">
              <w:t xml:space="preserve">65 </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61</w:t>
            </w:r>
            <w:r w:rsidR="00C41CEE" w:rsidRPr="00C41CEE">
              <w:noBreakHyphen/>
            </w:r>
            <w:r w:rsidRPr="00C41CEE">
              <w:t>2</w:t>
            </w:r>
            <w:r w:rsidR="00C41CEE" w:rsidRPr="00C41CEE">
              <w:noBreakHyphen/>
            </w:r>
            <w:r w:rsidRPr="00C41CEE">
              <w:t>40</w:t>
            </w:r>
          </w:p>
        </w:tc>
      </w:tr>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61</w:t>
            </w:r>
            <w:r w:rsidR="00C41CEE" w:rsidRPr="00C41CEE">
              <w:noBreakHyphen/>
            </w:r>
            <w:r w:rsidRPr="00C41CEE">
              <w:t>1</w:t>
            </w:r>
            <w:r w:rsidR="00C41CEE" w:rsidRPr="00C41CEE">
              <w:noBreakHyphen/>
            </w:r>
            <w:r w:rsidRPr="00C41CEE">
              <w:t xml:space="preserve">70 </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61</w:t>
            </w:r>
            <w:r w:rsidR="00C41CEE" w:rsidRPr="00C41CEE">
              <w:noBreakHyphen/>
            </w:r>
            <w:r w:rsidRPr="00C41CEE">
              <w:t>2</w:t>
            </w:r>
            <w:r w:rsidR="00C41CEE" w:rsidRPr="00C41CEE">
              <w:noBreakHyphen/>
            </w:r>
            <w:r w:rsidRPr="00C41CEE">
              <w:t>60</w:t>
            </w:r>
          </w:p>
        </w:tc>
      </w:tr>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61</w:t>
            </w:r>
            <w:r w:rsidR="00C41CEE" w:rsidRPr="00C41CEE">
              <w:noBreakHyphen/>
            </w:r>
            <w:r w:rsidRPr="00C41CEE">
              <w:t>1</w:t>
            </w:r>
            <w:r w:rsidR="00C41CEE" w:rsidRPr="00C41CEE">
              <w:noBreakHyphen/>
            </w:r>
            <w:r w:rsidRPr="00C41CEE">
              <w:t xml:space="preserve">80 </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61</w:t>
            </w:r>
            <w:r w:rsidR="00C41CEE" w:rsidRPr="00C41CEE">
              <w:noBreakHyphen/>
            </w:r>
            <w:r w:rsidRPr="00C41CEE">
              <w:t>4</w:t>
            </w:r>
            <w:r w:rsidR="00C41CEE" w:rsidRPr="00C41CEE">
              <w:noBreakHyphen/>
            </w:r>
            <w:r w:rsidRPr="00C41CEE">
              <w:t>250, 61</w:t>
            </w:r>
            <w:r w:rsidR="00C41CEE" w:rsidRPr="00C41CEE">
              <w:noBreakHyphen/>
            </w:r>
            <w:r w:rsidRPr="00C41CEE">
              <w:t>6</w:t>
            </w:r>
            <w:r w:rsidR="00C41CEE" w:rsidRPr="00C41CEE">
              <w:noBreakHyphen/>
            </w:r>
            <w:r w:rsidRPr="00C41CEE">
              <w:t>4270</w:t>
            </w:r>
          </w:p>
        </w:tc>
      </w:tr>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61</w:t>
            </w:r>
            <w:r w:rsidR="00C41CEE" w:rsidRPr="00C41CEE">
              <w:noBreakHyphen/>
            </w:r>
            <w:r w:rsidRPr="00C41CEE">
              <w:t>1</w:t>
            </w:r>
            <w:r w:rsidR="00C41CEE" w:rsidRPr="00C41CEE">
              <w:noBreakHyphen/>
            </w:r>
            <w:r w:rsidRPr="00C41CEE">
              <w:t xml:space="preserve">90 </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61</w:t>
            </w:r>
            <w:r w:rsidR="00C41CEE" w:rsidRPr="00C41CEE">
              <w:noBreakHyphen/>
            </w:r>
            <w:r w:rsidRPr="00C41CEE">
              <w:t>4</w:t>
            </w:r>
            <w:r w:rsidR="00C41CEE" w:rsidRPr="00C41CEE">
              <w:noBreakHyphen/>
            </w:r>
            <w:r w:rsidRPr="00C41CEE">
              <w:t>950</w:t>
            </w:r>
          </w:p>
        </w:tc>
      </w:tr>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61</w:t>
            </w:r>
            <w:r w:rsidR="00C41CEE" w:rsidRPr="00C41CEE">
              <w:noBreakHyphen/>
            </w:r>
            <w:r w:rsidRPr="00C41CEE">
              <w:t>1</w:t>
            </w:r>
            <w:r w:rsidR="00C41CEE" w:rsidRPr="00C41CEE">
              <w:noBreakHyphen/>
            </w:r>
            <w:r w:rsidRPr="00C41CEE">
              <w:t xml:space="preserve">95 </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61</w:t>
            </w:r>
            <w:r w:rsidR="00C41CEE" w:rsidRPr="00C41CEE">
              <w:noBreakHyphen/>
            </w:r>
            <w:r w:rsidRPr="00C41CEE">
              <w:t>2</w:t>
            </w:r>
            <w:r w:rsidR="00C41CEE" w:rsidRPr="00C41CEE">
              <w:noBreakHyphen/>
            </w:r>
            <w:r w:rsidRPr="00C41CEE">
              <w:t>140</w:t>
            </w:r>
          </w:p>
        </w:tc>
      </w:tr>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61</w:t>
            </w:r>
            <w:r w:rsidR="00C41CEE" w:rsidRPr="00C41CEE">
              <w:noBreakHyphen/>
            </w:r>
            <w:r w:rsidRPr="00C41CEE">
              <w:t>1</w:t>
            </w:r>
            <w:r w:rsidR="00C41CEE" w:rsidRPr="00C41CEE">
              <w:noBreakHyphen/>
            </w:r>
            <w:r w:rsidRPr="00C41CEE">
              <w:t>105</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61</w:t>
            </w:r>
            <w:r w:rsidR="00C41CEE" w:rsidRPr="00C41CEE">
              <w:noBreakHyphen/>
            </w:r>
            <w:r w:rsidRPr="00C41CEE">
              <w:t>2</w:t>
            </w:r>
            <w:r w:rsidR="00C41CEE" w:rsidRPr="00C41CEE">
              <w:noBreakHyphen/>
            </w:r>
            <w:r w:rsidRPr="00C41CEE">
              <w:t>130</w:t>
            </w:r>
          </w:p>
        </w:tc>
      </w:tr>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61</w:t>
            </w:r>
            <w:r w:rsidR="00C41CEE" w:rsidRPr="00C41CEE">
              <w:noBreakHyphen/>
            </w:r>
            <w:r w:rsidRPr="00C41CEE">
              <w:t>1</w:t>
            </w:r>
            <w:r w:rsidR="00C41CEE" w:rsidRPr="00C41CEE">
              <w:noBreakHyphen/>
            </w:r>
            <w:r w:rsidRPr="00C41CEE">
              <w:t>110</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61</w:t>
            </w:r>
            <w:r w:rsidR="00C41CEE" w:rsidRPr="00C41CEE">
              <w:noBreakHyphen/>
            </w:r>
            <w:r w:rsidRPr="00C41CEE">
              <w:t>2</w:t>
            </w:r>
            <w:r w:rsidR="00C41CEE" w:rsidRPr="00C41CEE">
              <w:noBreakHyphen/>
            </w:r>
            <w:r w:rsidRPr="00C41CEE">
              <w:t>110</w:t>
            </w:r>
          </w:p>
        </w:tc>
      </w:tr>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61</w:t>
            </w:r>
            <w:r w:rsidR="00C41CEE" w:rsidRPr="00C41CEE">
              <w:noBreakHyphen/>
            </w:r>
            <w:r w:rsidRPr="00C41CEE">
              <w:t>1</w:t>
            </w:r>
            <w:r w:rsidR="00C41CEE" w:rsidRPr="00C41CEE">
              <w:noBreakHyphen/>
            </w:r>
            <w:r w:rsidRPr="00C41CEE">
              <w:t>120</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61</w:t>
            </w:r>
            <w:r w:rsidR="00C41CEE" w:rsidRPr="00C41CEE">
              <w:noBreakHyphen/>
            </w:r>
            <w:r w:rsidRPr="00C41CEE">
              <w:t>2</w:t>
            </w:r>
            <w:r w:rsidR="00C41CEE" w:rsidRPr="00C41CEE">
              <w:noBreakHyphen/>
            </w:r>
            <w:r w:rsidRPr="00C41CEE">
              <w:t>90</w:t>
            </w:r>
          </w:p>
        </w:tc>
      </w:tr>
      <w:tr w:rsidR="0034242F" w:rsidRPr="00C41CEE" w:rsidTr="00384771">
        <w:tc>
          <w:tcPr>
            <w:tcW w:w="144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41CEE">
              <w:t>61</w:t>
            </w:r>
            <w:r w:rsidR="00C41CEE" w:rsidRPr="00C41CEE">
              <w:noBreakHyphen/>
            </w:r>
            <w:r w:rsidRPr="00C41CEE">
              <w:t>1</w:t>
            </w:r>
            <w:r w:rsidR="00C41CEE" w:rsidRPr="00C41CEE">
              <w:noBreakHyphen/>
            </w:r>
            <w:r w:rsidRPr="00C41CEE">
              <w:t>125</w:t>
            </w:r>
          </w:p>
        </w:tc>
        <w:tc>
          <w:tcPr>
            <w:tcW w:w="4020" w:type="dxa"/>
            <w:shd w:val="clear" w:color="auto" w:fill="auto"/>
          </w:tcPr>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CEE">
              <w:t>61</w:t>
            </w:r>
            <w:r w:rsidR="00C41CEE" w:rsidRPr="00C41CEE">
              <w:noBreakHyphen/>
            </w:r>
            <w:r w:rsidRPr="00C41CEE">
              <w:t>2</w:t>
            </w:r>
            <w:r w:rsidR="00C41CEE" w:rsidRPr="00C41CEE">
              <w:noBreakHyphen/>
            </w:r>
            <w:r w:rsidRPr="00C41CEE">
              <w:t>100</w:t>
            </w:r>
          </w:p>
        </w:tc>
      </w:tr>
    </w:tbl>
    <w:p w:rsidR="0034242F" w:rsidRPr="00C41CEE" w:rsidRDefault="0034242F"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41CEE" w:rsidRDefault="00184435" w:rsidP="00C41C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1CEE" w:rsidSect="00C41C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CEE" w:rsidRDefault="00C41CEE" w:rsidP="00C41CEE">
      <w:r>
        <w:separator/>
      </w:r>
    </w:p>
  </w:endnote>
  <w:endnote w:type="continuationSeparator" w:id="0">
    <w:p w:rsidR="00C41CEE" w:rsidRDefault="00C41CEE" w:rsidP="00C4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EE" w:rsidRPr="00C41CEE" w:rsidRDefault="00C41CEE" w:rsidP="00C41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EE" w:rsidRPr="00C41CEE" w:rsidRDefault="00C41CEE" w:rsidP="00C41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EE" w:rsidRPr="00C41CEE" w:rsidRDefault="00C41CEE" w:rsidP="00C41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CEE" w:rsidRDefault="00C41CEE" w:rsidP="00C41CEE">
      <w:r>
        <w:separator/>
      </w:r>
    </w:p>
  </w:footnote>
  <w:footnote w:type="continuationSeparator" w:id="0">
    <w:p w:rsidR="00C41CEE" w:rsidRDefault="00C41CEE" w:rsidP="00C41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EE" w:rsidRPr="00C41CEE" w:rsidRDefault="00C41CEE" w:rsidP="00C41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EE" w:rsidRPr="00C41CEE" w:rsidRDefault="00C41CEE" w:rsidP="00C41C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EE" w:rsidRPr="00C41CEE" w:rsidRDefault="00C41CEE" w:rsidP="00C41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5087"/>
    <w:rsid w:val="002631A1"/>
    <w:rsid w:val="00264CFC"/>
    <w:rsid w:val="0026527A"/>
    <w:rsid w:val="0027446C"/>
    <w:rsid w:val="00281CD0"/>
    <w:rsid w:val="002A1A65"/>
    <w:rsid w:val="002D02F2"/>
    <w:rsid w:val="002E0560"/>
    <w:rsid w:val="002F4B59"/>
    <w:rsid w:val="003069DF"/>
    <w:rsid w:val="0034242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1CEE"/>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8BF37-08EE-4317-B0CB-3516A436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CEE"/>
    <w:pPr>
      <w:tabs>
        <w:tab w:val="clear" w:pos="720"/>
        <w:tab w:val="center" w:pos="4680"/>
        <w:tab w:val="right" w:pos="9360"/>
      </w:tabs>
    </w:pPr>
  </w:style>
  <w:style w:type="character" w:customStyle="1" w:styleId="HeaderChar">
    <w:name w:val="Header Char"/>
    <w:basedOn w:val="DefaultParagraphFont"/>
    <w:link w:val="Header"/>
    <w:uiPriority w:val="99"/>
    <w:rsid w:val="00C41CEE"/>
    <w:rPr>
      <w:rFonts w:cs="Times New Roman"/>
    </w:rPr>
  </w:style>
  <w:style w:type="paragraph" w:styleId="Footer">
    <w:name w:val="footer"/>
    <w:basedOn w:val="Normal"/>
    <w:link w:val="FooterChar"/>
    <w:uiPriority w:val="99"/>
    <w:unhideWhenUsed/>
    <w:rsid w:val="00C41CEE"/>
    <w:pPr>
      <w:tabs>
        <w:tab w:val="clear" w:pos="720"/>
        <w:tab w:val="center" w:pos="4680"/>
        <w:tab w:val="right" w:pos="9360"/>
      </w:tabs>
    </w:pPr>
  </w:style>
  <w:style w:type="character" w:customStyle="1" w:styleId="FooterChar">
    <w:name w:val="Footer Char"/>
    <w:basedOn w:val="DefaultParagraphFont"/>
    <w:link w:val="Footer"/>
    <w:uiPriority w:val="99"/>
    <w:rsid w:val="00C41CEE"/>
    <w:rPr>
      <w:rFonts w:cs="Times New Roman"/>
    </w:rPr>
  </w:style>
  <w:style w:type="character" w:styleId="Hyperlink">
    <w:name w:val="Hyperlink"/>
    <w:basedOn w:val="DefaultParagraphFont"/>
    <w:uiPriority w:val="99"/>
    <w:semiHidden/>
    <w:rsid w:val="00255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352</Words>
  <Characters>2009</Characters>
  <Application>Microsoft Office Word</Application>
  <DocSecurity>0</DocSecurity>
  <Lines>16</Lines>
  <Paragraphs>4</Paragraphs>
  <ScaleCrop>false</ScaleCrop>
  <Company>Legislative Services Agency (LSA)</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