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FAC">
        <w:t>CHAPTER 151</w:t>
      </w:r>
    </w:p>
    <w:p w:rsidR="00FB7FAC" w:rsidRP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7FAC">
        <w:t>South Carolina LightRail Consortium</w:t>
      </w:r>
      <w:bookmarkStart w:id="0" w:name="_GoBack"/>
      <w:bookmarkEnd w:id="0"/>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100.</w:t>
      </w:r>
      <w:r w:rsidR="00E40944" w:rsidRPr="00FB7FAC">
        <w:t xml:space="preserve"> Purpose.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For this purpose, the South Carolina LightRail shall provide facilities</w:t>
      </w:r>
      <w:r w:rsidR="00FB7FAC" w:rsidRPr="00FB7FAC">
        <w:noBreakHyphen/>
      </w:r>
      <w:r w:rsidRPr="00FB7FAC">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(C) The goal of the South Carolina LightRail Consortium is to promote collaboration among participating clinical, research, and educational institutions throughout the State, region, and nation to accomplish the objectives stated above.</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110.</w:t>
      </w:r>
      <w:r w:rsidR="00E40944" w:rsidRPr="00FB7FAC">
        <w:t xml:space="preserve"> Definition of LightRail; use by academic institutions; access by private organizations and entities.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FB7FAC" w:rsidRPr="00FB7FAC">
        <w:noBreakHyphen/>
      </w:r>
      <w:r w:rsidRPr="00FB7FAC">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FB7FAC" w:rsidRPr="00FB7FAC">
        <w:noBreakHyphen/>
      </w:r>
      <w:r w:rsidRPr="00FB7FAC">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 xml:space="preserve">(C)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w:t>
      </w:r>
      <w:r w:rsidRPr="00FB7FAC">
        <w:lastRenderedPageBreak/>
        <w:t>Section 59</w:t>
      </w:r>
      <w:r w:rsidR="00FB7FAC" w:rsidRPr="00FB7FAC">
        <w:noBreakHyphen/>
      </w:r>
      <w:r w:rsidRPr="00FB7FAC">
        <w:t>151</w:t>
      </w:r>
      <w:r w:rsidR="00FB7FAC" w:rsidRPr="00FB7FAC">
        <w:noBreakHyphen/>
      </w:r>
      <w:r w:rsidRPr="00FB7FAC">
        <w:t>115.</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115.</w:t>
      </w:r>
      <w:r w:rsidR="00E40944" w:rsidRPr="00FB7FAC">
        <w:t xml:space="preserve"> Guidelines and procedures.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(A) Prior to allowing any university employee or student access to the network, the board must adopt guidelines and procedures which, at a minimum, ensure that:</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(1) access to the network is limited to specific university employees and specific university students who have direct involvement in one or more formal documented partnerships that meet the requirements of Section 59</w:t>
      </w:r>
      <w:r w:rsidR="00FB7FAC" w:rsidRPr="00FB7FAC">
        <w:noBreakHyphen/>
      </w:r>
      <w:r w:rsidRPr="00FB7FAC">
        <w:t>151</w:t>
      </w:r>
      <w:r w:rsidR="00FB7FAC" w:rsidRPr="00FB7FAC">
        <w:noBreakHyphen/>
      </w:r>
      <w:r w:rsidRPr="00FB7FAC">
        <w:t>110(C);</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(2) these university employees and university students cease to have access to the network once they are no longer directly involved in such a formal documented partnership; and</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(3) the access to the network does not compete with the commercial communications or information offerings of private sector participants.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Prior to allowing any private organization or entity access to the network, the board must adopt guidelines and procedures which, at a minimum, ensure that:</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(1) access to the network is limited to specified employees of these private organizations or entities who have direct involvement in one or more formal documented partnerships that meet the requirements of Section 59</w:t>
      </w:r>
      <w:r w:rsidR="00FB7FAC" w:rsidRPr="00FB7FAC">
        <w:noBreakHyphen/>
      </w:r>
      <w:r w:rsidRPr="00FB7FAC">
        <w:t>151</w:t>
      </w:r>
      <w:r w:rsidR="00FB7FAC" w:rsidRPr="00FB7FAC">
        <w:noBreakHyphen/>
      </w:r>
      <w:r w:rsidRPr="00FB7FAC">
        <w:t>110(C);</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(2) these employees cease to have access to the network once they are no longer directly involved in such a formal documented partnership;</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(3) the access to the network does not compete with the commercial communications or information offerings of private sector participants; and</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(4) any South Carolina commercial entity has a separate commodity internet connection for its routine operations.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120.</w:t>
      </w:r>
      <w:r w:rsidR="00E40944" w:rsidRPr="00FB7FAC">
        <w:t xml:space="preserve"> Charter member institutions.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130.</w:t>
      </w:r>
      <w:r w:rsidR="00E40944" w:rsidRPr="00FB7FAC">
        <w:t xml:space="preserve"> Board of directors; membership; executive committee.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(C) Membership on the board is not an office of honor or profit within the meaning of Section 3, Article VI of the Constitution of this State.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(D) The board shall establish rules of procedure governing its operations and also may establish an executive committee of the board to act in the board</w:t>
      </w:r>
      <w:r w:rsidR="00FB7FAC" w:rsidRPr="00FB7FAC">
        <w:t>'</w:t>
      </w:r>
      <w:r w:rsidRPr="00FB7FAC">
        <w:t>s stead in the manner authorized by the full board.</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140.</w:t>
      </w:r>
      <w:r w:rsidR="00E40944" w:rsidRPr="00FB7FAC">
        <w:t xml:space="preserve"> Powers and duties of board of directors.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 xml:space="preserve">(A) The South Carolina LightRail Consortium is declared to be an instrumentality of this State and as such its board of directors has all powers and authority conferred upon public boards generally </w:t>
      </w:r>
      <w:r w:rsidRPr="00FB7FAC">
        <w:lastRenderedPageBreak/>
        <w:t>including the power to contract in its own name, to own property, and to sue and be sued.</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The board shall ensure that the consortium functions in support of its mission and in the best interests of the State and the participating universities. In support of this task, the board shall:</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(1) assist and advise the chairman of the consortium board in matters related to scientific and administrative performance, consortium directions and needs, and government and interinstitutional interactions;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(2) conduct an annual review of consortium status, activities, and plans to evaluate overall performance relative to its mission and strategic plan and to recommend possible changes to the strategic plan or South Carolina LightRail administration;</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(3) review and approve an annual budget request for the consortium; and</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r>
      <w:r w:rsidRPr="00FB7FAC">
        <w:tab/>
        <w:t>(4) review the operations of the South Carolina LightRail annually to ensure relevance, to affirm the commitments of the participating institutions, and to confirm continued compliance with the provisions of Section 59</w:t>
      </w:r>
      <w:r w:rsidR="00FB7FAC" w:rsidRPr="00FB7FAC">
        <w:noBreakHyphen/>
      </w:r>
      <w:r w:rsidRPr="00FB7FAC">
        <w:t>151</w:t>
      </w:r>
      <w:r w:rsidR="00FB7FAC" w:rsidRPr="00FB7FAC">
        <w:noBreakHyphen/>
      </w:r>
      <w:r w:rsidRPr="00FB7FAC">
        <w:t>115.</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(C) Results of the annual review and budget request must be documented in a letter submitted to the presidents of the three universities.</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150.</w:t>
      </w:r>
      <w:r w:rsidR="00E40944" w:rsidRPr="00FB7FAC">
        <w:t xml:space="preserve"> Funding.</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(A) The LightRail Consortium shall receive such funding as may be provided by the General Assembly in the annual general appropriations act, supplemental appropriations act, or in other provisions of law. This funding must be provided to its participating universities for purposes of the LightRail. Funds appropriated to Clemson University, the Medical University of South Carolina, and the University of South Carolina in the 2007</w:t>
      </w:r>
      <w:r w:rsidR="00FB7FAC" w:rsidRPr="00FB7FAC">
        <w:noBreakHyphen/>
      </w:r>
      <w:r w:rsidRPr="00FB7FAC">
        <w:t>2008 general appropriations act for the South Carolina LightRail Consortium shall continue to be used for those purposes consistent with the requirements of this chapter and other applicable provisions of law.</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FB7FAC" w:rsidRPr="00FB7FAC">
        <w:noBreakHyphen/>
      </w:r>
      <w:r w:rsidRPr="00FB7FAC">
        <w:t>equal responsibility of the member institutions, and the responsibility of each member institution to provide such funding must be determined annually by the board upon agreement of the institutions concerned.</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160.</w:t>
      </w:r>
      <w:r w:rsidR="00E40944" w:rsidRPr="00FB7FAC">
        <w:t xml:space="preserve"> Administration of value of gifts, in</w:t>
      </w:r>
      <w:r w:rsidRPr="00FB7FAC">
        <w:noBreakHyphen/>
      </w:r>
      <w:r w:rsidR="00E40944" w:rsidRPr="00FB7FAC">
        <w:t>kind services, grants, appropriations, or other financial considerations.</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The value of gifts, in</w:t>
      </w:r>
      <w:r w:rsidR="00FB7FAC" w:rsidRPr="00FB7FAC">
        <w:noBreakHyphen/>
      </w:r>
      <w:r w:rsidRPr="00FB7FAC">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FB7FAC" w:rsidRPr="00FB7FAC">
        <w:noBreakHyphen/>
      </w:r>
      <w:r w:rsidRPr="00FB7FAC">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7FAC">
        <w:t>"</w:t>
      </w:r>
      <w:r w:rsidR="00E40944" w:rsidRPr="00FB7FAC">
        <w:t>The provisions of this act do not expand, diminish, or otherwise affect the provisions of Chapter 151, Title 59 regarding the South Carolina LightRail Consortium</w:t>
      </w:r>
      <w:r w:rsidRPr="00FB7FAC">
        <w:t>"</w:t>
      </w:r>
    </w:p>
    <w:p w:rsidR="00FB7FAC" w:rsidRP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rPr>
          <w:b/>
        </w:rPr>
        <w:t xml:space="preserve">SECTION </w:t>
      </w:r>
      <w:r w:rsidR="00E40944" w:rsidRPr="00FB7FAC">
        <w:rPr>
          <w:b/>
        </w:rPr>
        <w:t>59</w:t>
      </w:r>
      <w:r w:rsidRPr="00FB7FAC">
        <w:rPr>
          <w:b/>
        </w:rPr>
        <w:noBreakHyphen/>
      </w:r>
      <w:r w:rsidR="00E40944" w:rsidRPr="00FB7FAC">
        <w:rPr>
          <w:b/>
        </w:rPr>
        <w:t>151</w:t>
      </w:r>
      <w:r w:rsidRPr="00FB7FAC">
        <w:rPr>
          <w:b/>
        </w:rPr>
        <w:noBreakHyphen/>
      </w:r>
      <w:r w:rsidR="00E40944" w:rsidRPr="00FB7FAC">
        <w:rPr>
          <w:b/>
        </w:rPr>
        <w:t>180.</w:t>
      </w:r>
      <w:r w:rsidR="00E40944" w:rsidRPr="00FB7FAC">
        <w:t xml:space="preserve"> Applicability of state law.</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FB7FAC" w:rsidRPr="00FB7FAC">
        <w:noBreakHyphen/>
      </w:r>
      <w:r w:rsidRPr="00FB7FAC">
        <w:t>kind payment, that each such organization and entity is making for access to the network.</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44" w:rsidRPr="00FB7FAC">
        <w:t xml:space="preserve">: 2008 Act No. 330, </w:t>
      </w:r>
      <w:r w:rsidRPr="00FB7FAC">
        <w:t xml:space="preserve">Section </w:t>
      </w:r>
      <w:r w:rsidR="00E40944" w:rsidRPr="00FB7FAC">
        <w:t>1, eff upon approval (became law without the Governor</w:t>
      </w:r>
      <w:r w:rsidRPr="00FB7FAC">
        <w:t>'</w:t>
      </w:r>
      <w:r w:rsidR="00E40944" w:rsidRPr="00FB7FAC">
        <w:t>s signature on June 17, 2008).</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Editor</w:t>
      </w:r>
      <w:r w:rsidR="00FB7FAC" w:rsidRPr="00FB7FAC">
        <w:t>'</w:t>
      </w:r>
      <w:r w:rsidRPr="00FB7FAC">
        <w:t>s Note</w:t>
      </w:r>
    </w:p>
    <w:p w:rsidR="00FB7FAC" w:rsidRDefault="00E40944"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 xml:space="preserve">2012 Act No. 284, </w:t>
      </w:r>
      <w:r w:rsidR="00FB7FAC" w:rsidRPr="00FB7FAC">
        <w:t xml:space="preserve">Section </w:t>
      </w:r>
      <w:r w:rsidRPr="00FB7FAC">
        <w:t>11, provides as follows:</w:t>
      </w:r>
    </w:p>
    <w:p w:rsidR="00FB7FAC" w:rsidRDefault="00FB7FAC"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FAC">
        <w:t>"</w:t>
      </w:r>
      <w:r w:rsidR="00E40944" w:rsidRPr="00FB7FAC">
        <w:t>The provisions of this act do not expand, diminish, or otherwise affect the provisions of Chapter 151, Title 59 regarding the South Carolina LightRail Consortium</w:t>
      </w:r>
      <w:r w:rsidRPr="00FB7FAC">
        <w:t>"</w:t>
      </w:r>
    </w:p>
    <w:p w:rsidR="00184435" w:rsidRPr="00FB7FAC" w:rsidRDefault="00184435" w:rsidP="00FB7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B7FAC" w:rsidSect="00FB7F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FAC" w:rsidRDefault="00FB7FAC" w:rsidP="00FB7FAC">
      <w:r>
        <w:separator/>
      </w:r>
    </w:p>
  </w:endnote>
  <w:endnote w:type="continuationSeparator" w:id="0">
    <w:p w:rsidR="00FB7FAC" w:rsidRDefault="00FB7FAC" w:rsidP="00FB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FAC" w:rsidRDefault="00FB7FAC" w:rsidP="00FB7FAC">
      <w:r>
        <w:separator/>
      </w:r>
    </w:p>
  </w:footnote>
  <w:footnote w:type="continuationSeparator" w:id="0">
    <w:p w:rsidR="00FB7FAC" w:rsidRDefault="00FB7FAC" w:rsidP="00FB7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FAC" w:rsidRPr="00FB7FAC" w:rsidRDefault="00FB7FAC" w:rsidP="00FB7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944"/>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7FA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FB126-F51D-4487-8332-2B556F82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944"/>
    <w:rPr>
      <w:rFonts w:ascii="Courier New" w:eastAsiaTheme="minorEastAsia" w:hAnsi="Courier New" w:cs="Courier New"/>
      <w:sz w:val="20"/>
      <w:szCs w:val="20"/>
    </w:rPr>
  </w:style>
  <w:style w:type="paragraph" w:styleId="Header">
    <w:name w:val="header"/>
    <w:basedOn w:val="Normal"/>
    <w:link w:val="HeaderChar"/>
    <w:uiPriority w:val="99"/>
    <w:unhideWhenUsed/>
    <w:rsid w:val="00FB7FAC"/>
    <w:pPr>
      <w:tabs>
        <w:tab w:val="center" w:pos="4680"/>
        <w:tab w:val="right" w:pos="9360"/>
      </w:tabs>
    </w:pPr>
  </w:style>
  <w:style w:type="character" w:customStyle="1" w:styleId="HeaderChar">
    <w:name w:val="Header Char"/>
    <w:basedOn w:val="DefaultParagraphFont"/>
    <w:link w:val="Header"/>
    <w:uiPriority w:val="99"/>
    <w:rsid w:val="00FB7FAC"/>
    <w:rPr>
      <w:rFonts w:cs="Times New Roman"/>
      <w:szCs w:val="24"/>
    </w:rPr>
  </w:style>
  <w:style w:type="paragraph" w:styleId="Footer">
    <w:name w:val="footer"/>
    <w:basedOn w:val="Normal"/>
    <w:link w:val="FooterChar"/>
    <w:uiPriority w:val="99"/>
    <w:unhideWhenUsed/>
    <w:rsid w:val="00FB7FAC"/>
    <w:pPr>
      <w:tabs>
        <w:tab w:val="center" w:pos="4680"/>
        <w:tab w:val="right" w:pos="9360"/>
      </w:tabs>
    </w:pPr>
  </w:style>
  <w:style w:type="character" w:customStyle="1" w:styleId="FooterChar">
    <w:name w:val="Footer Char"/>
    <w:basedOn w:val="DefaultParagraphFont"/>
    <w:link w:val="Footer"/>
    <w:uiPriority w:val="99"/>
    <w:rsid w:val="00FB7FA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2162</Words>
  <Characters>12327</Characters>
  <Application>Microsoft Office Word</Application>
  <DocSecurity>0</DocSecurity>
  <Lines>102</Lines>
  <Paragraphs>28</Paragraphs>
  <ScaleCrop>false</ScaleCrop>
  <Company>Legislative Services Agency (LSA)</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