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644">
        <w:t>CHAPTER 28</w:t>
      </w:r>
    </w:p>
    <w:p w:rsidR="00445644" w:rsidRP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644">
        <w:t>Sentencing Reform Oversight Committee</w:t>
      </w:r>
      <w:bookmarkStart w:id="0" w:name="_GoBack"/>
      <w:bookmarkEnd w:id="0"/>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rPr>
          <w:b/>
        </w:rPr>
        <w:t xml:space="preserve">SECTION </w:t>
      </w:r>
      <w:r w:rsidR="004F13A4" w:rsidRPr="00445644">
        <w:rPr>
          <w:b/>
        </w:rPr>
        <w:t>24</w:t>
      </w:r>
      <w:r w:rsidRPr="00445644">
        <w:rPr>
          <w:b/>
        </w:rPr>
        <w:noBreakHyphen/>
      </w:r>
      <w:r w:rsidR="004F13A4" w:rsidRPr="00445644">
        <w:rPr>
          <w:b/>
        </w:rPr>
        <w:t>28</w:t>
      </w:r>
      <w:r w:rsidRPr="00445644">
        <w:rPr>
          <w:b/>
        </w:rPr>
        <w:noBreakHyphen/>
      </w:r>
      <w:r w:rsidR="004F13A4" w:rsidRPr="00445644">
        <w:rPr>
          <w:b/>
        </w:rPr>
        <w:t>10.</w:t>
      </w:r>
      <w:r w:rsidR="004F13A4" w:rsidRPr="00445644">
        <w:t xml:space="preserve"> Sentencing Reform Oversight Committee established.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There is hereby established a committee to be known as the Sentencing Reform Oversight Committee, hereinafter called the oversight committee, which must exercise the powers and fulfill the duties described in this chapter.</w:t>
      </w: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3A4" w:rsidRPr="00445644">
        <w:t xml:space="preserve">: 2010 Act No. 273, </w:t>
      </w:r>
      <w:r w:rsidRPr="00445644">
        <w:t xml:space="preserve">Section </w:t>
      </w:r>
      <w:r w:rsidR="004F13A4" w:rsidRPr="00445644">
        <w:t>62, eff June 2, 2010.</w:t>
      </w: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rPr>
          <w:b/>
        </w:rPr>
        <w:t xml:space="preserve">SECTION </w:t>
      </w:r>
      <w:r w:rsidR="004F13A4" w:rsidRPr="00445644">
        <w:rPr>
          <w:b/>
        </w:rPr>
        <w:t>24</w:t>
      </w:r>
      <w:r w:rsidRPr="00445644">
        <w:rPr>
          <w:b/>
        </w:rPr>
        <w:noBreakHyphen/>
      </w:r>
      <w:r w:rsidR="004F13A4" w:rsidRPr="00445644">
        <w:rPr>
          <w:b/>
        </w:rPr>
        <w:t>28</w:t>
      </w:r>
      <w:r w:rsidRPr="00445644">
        <w:rPr>
          <w:b/>
        </w:rPr>
        <w:noBreakHyphen/>
      </w:r>
      <w:r w:rsidR="004F13A4" w:rsidRPr="00445644">
        <w:rPr>
          <w:b/>
        </w:rPr>
        <w:t>20.</w:t>
      </w:r>
      <w:r w:rsidR="004F13A4" w:rsidRPr="00445644">
        <w:t xml:space="preserve"> Membership of committee; meetings; termination.</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(C) The oversight committee terminates five years after its first meeting, unless the General Assembly, by joint resolution, continues the oversight committee for a specified period of time.</w:t>
      </w: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3A4" w:rsidRPr="00445644">
        <w:t xml:space="preserve">: 2010 Act No. 273, </w:t>
      </w:r>
      <w:r w:rsidRPr="00445644">
        <w:t xml:space="preserve">Section </w:t>
      </w:r>
      <w:r w:rsidR="004F13A4" w:rsidRPr="00445644">
        <w:t>62, eff June 2, 2010.</w:t>
      </w: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rPr>
          <w:b/>
        </w:rPr>
        <w:t xml:space="preserve">SECTION </w:t>
      </w:r>
      <w:r w:rsidR="004F13A4" w:rsidRPr="00445644">
        <w:rPr>
          <w:b/>
        </w:rPr>
        <w:t>24</w:t>
      </w:r>
      <w:r w:rsidRPr="00445644">
        <w:rPr>
          <w:b/>
        </w:rPr>
        <w:noBreakHyphen/>
      </w:r>
      <w:r w:rsidR="004F13A4" w:rsidRPr="00445644">
        <w:rPr>
          <w:b/>
        </w:rPr>
        <w:t>28</w:t>
      </w:r>
      <w:r w:rsidRPr="00445644">
        <w:rPr>
          <w:b/>
        </w:rPr>
        <w:noBreakHyphen/>
      </w:r>
      <w:r w:rsidR="004F13A4" w:rsidRPr="00445644">
        <w:rPr>
          <w:b/>
        </w:rPr>
        <w:t>30.</w:t>
      </w:r>
      <w:r w:rsidR="004F13A4" w:rsidRPr="00445644">
        <w:t xml:space="preserve"> Powers and duties of committee.</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The oversight committee has the following powers and duties: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(1) to review the implementation of the recommendations made in the Sentencing Reform Commission report of February 2010 including, but not limited to:</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(a) the plan required from the Department of Probation, Parole and Pardon Services on the parole board training and other goals identified in Section 24</w:t>
      </w:r>
      <w:r w:rsidR="00445644" w:rsidRPr="00445644">
        <w:noBreakHyphen/>
      </w:r>
      <w:r w:rsidRPr="00445644">
        <w:t>21</w:t>
      </w:r>
      <w:r w:rsidR="00445644" w:rsidRPr="00445644">
        <w:noBreakHyphen/>
      </w:r>
      <w:r w:rsidRPr="00445644">
        <w:t>10;</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(b) the report from the Department of Probation, Parole and Pardon Services on its goals and development of assessment tools consistent with evidence</w:t>
      </w:r>
      <w:r w:rsidR="00445644" w:rsidRPr="00445644">
        <w:noBreakHyphen/>
      </w:r>
      <w:r w:rsidRPr="00445644">
        <w:t>based practices;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(c) the report from the Office of Pretrial Intervention Coordinator in the Commission on Prosecution Coordination on diversion programs required by the provisions of Article 11, Chapter 22, Title 17; and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(d) the report from the Department of Probation, Parole and Pardon Services on:</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 the number and percentage of individuals placed on administrative sanctions and the number and percentage of individuals who have earned compliance credits; and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(ii) the number and percentage of probationers and parolees whose supervision has been revoked for violations of conditions or for convictions of new offenses;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(2) to request data similar to the information contained in the report required by Section 17</w:t>
      </w:r>
      <w:r w:rsidR="00445644" w:rsidRPr="00445644">
        <w:noBreakHyphen/>
      </w:r>
      <w:r w:rsidRPr="00445644">
        <w:t>22</w:t>
      </w:r>
      <w:r w:rsidR="00445644" w:rsidRPr="00445644">
        <w:noBreakHyphen/>
      </w:r>
      <w:r w:rsidRPr="00445644">
        <w:t xml:space="preserve">1120 from private organizations whose programs are operated through a court and that divert individuals from prosecution, incarceration, or confinement, such as diversion from incarceration for failure to pay child </w:t>
      </w:r>
      <w:r w:rsidRPr="00445644">
        <w:lastRenderedPageBreak/>
        <w:t>support, and whose programs are sanctioned by, coordinated with, or funded by federal, state, or local governmental agencies;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(3)(a) to annually calculate:</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 any state expenditures that have been avoided by reductions in the revocation rate as calculated by the Department of Probation, Parole and Pardon Services and reported under Sections 24</w:t>
      </w:r>
      <w:r w:rsidR="00445644" w:rsidRPr="00445644">
        <w:noBreakHyphen/>
      </w:r>
      <w:r w:rsidRPr="00445644">
        <w:t>21</w:t>
      </w:r>
      <w:r w:rsidR="00445644" w:rsidRPr="00445644">
        <w:noBreakHyphen/>
      </w:r>
      <w:r w:rsidRPr="00445644">
        <w:t>450 and 24</w:t>
      </w:r>
      <w:r w:rsidR="00445644" w:rsidRPr="00445644">
        <w:noBreakHyphen/>
      </w:r>
      <w:r w:rsidRPr="00445644">
        <w:t>21</w:t>
      </w:r>
      <w:r w:rsidR="00445644" w:rsidRPr="00445644">
        <w:noBreakHyphen/>
      </w:r>
      <w:r w:rsidRPr="00445644">
        <w:t>680; and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(ii) any state expenditures that have been avoided by reductions in the new felony offense conviction rate as calculated by the Department of Probation, Parole and Pardon Services and reported under Sections 24</w:t>
      </w:r>
      <w:r w:rsidR="00445644" w:rsidRPr="00445644">
        <w:noBreakHyphen/>
      </w:r>
      <w:r w:rsidRPr="00445644">
        <w:t>21</w:t>
      </w:r>
      <w:r w:rsidR="00445644" w:rsidRPr="00445644">
        <w:noBreakHyphen/>
      </w:r>
      <w:r w:rsidRPr="00445644">
        <w:t>450 and 24</w:t>
      </w:r>
      <w:r w:rsidR="00445644" w:rsidRPr="00445644">
        <w:noBreakHyphen/>
      </w:r>
      <w:r w:rsidRPr="00445644">
        <w:t>21</w:t>
      </w:r>
      <w:r w:rsidR="00445644" w:rsidRPr="00445644">
        <w:noBreakHyphen/>
      </w:r>
      <w:r w:rsidRPr="00445644">
        <w:t>680;</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445644" w:rsidRPr="00445644">
        <w:noBreakHyphen/>
      </w:r>
      <w:r w:rsidRPr="00445644">
        <w:t>five percent of any state expenditures that are avoided as calculated in item (3)(a) to the Department of Probation, Parole and Pardon Services;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(e) any funds appropriated pursuant to the recommendations in item (c) shall be used to supplement, not replace, any other state appropriations to the Department of Probation, Parole and Pardon Services;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t>(f) funds received through appropriations pursuant to this item shall be used by the Department of Probation, Parole and Pardon Services for the following purposes: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 implementation of evidence</w:t>
      </w:r>
      <w:r w:rsidR="00445644" w:rsidRPr="00445644">
        <w:noBreakHyphen/>
      </w:r>
      <w:r w:rsidRPr="00445644">
        <w:t>based practices;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(ii) increasing the availability of risk reduction programs and interventions, including substance abuse treatment programs, for supervised individuals; or</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r>
      <w:r w:rsidRPr="00445644">
        <w:tab/>
      </w:r>
      <w:r w:rsidRPr="00445644">
        <w:tab/>
        <w:t>(iii) grants to nonprofit victim services organizations to partner with the Department of Probation, Parole and Pardon Services and courts to assist victims and increase the amount of restitution collected from offenders;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(4) to submit to the General Assembly, on an annual basis, the oversight committee</w:t>
      </w:r>
      <w:r w:rsidR="00445644" w:rsidRPr="00445644">
        <w:t>’</w:t>
      </w:r>
      <w:r w:rsidRPr="00445644">
        <w:t>s evaluation of the implementation of the recommendations of the Sentencing Reform Commission report of February 2010;</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(6) to undertake such additional studies or evaluations as the oversight committee considers necessary to provide sentencing reform information and analysis.</w:t>
      </w: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3A4" w:rsidRPr="00445644">
        <w:t xml:space="preserve">: 2010 Act No. 273, </w:t>
      </w:r>
      <w:r w:rsidRPr="00445644">
        <w:t xml:space="preserve">Section </w:t>
      </w:r>
      <w:r w:rsidR="004F13A4" w:rsidRPr="00445644">
        <w:t>62, eff June 2, 2010.</w:t>
      </w: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rPr>
          <w:b/>
        </w:rPr>
        <w:t xml:space="preserve">SECTION </w:t>
      </w:r>
      <w:r w:rsidR="004F13A4" w:rsidRPr="00445644">
        <w:rPr>
          <w:b/>
        </w:rPr>
        <w:t>24</w:t>
      </w:r>
      <w:r w:rsidRPr="00445644">
        <w:rPr>
          <w:b/>
        </w:rPr>
        <w:noBreakHyphen/>
      </w:r>
      <w:r w:rsidR="004F13A4" w:rsidRPr="00445644">
        <w:rPr>
          <w:b/>
        </w:rPr>
        <w:t>28</w:t>
      </w:r>
      <w:r w:rsidRPr="00445644">
        <w:rPr>
          <w:b/>
        </w:rPr>
        <w:noBreakHyphen/>
      </w:r>
      <w:r w:rsidR="004F13A4" w:rsidRPr="00445644">
        <w:rPr>
          <w:b/>
        </w:rPr>
        <w:t>40.</w:t>
      </w:r>
      <w:r w:rsidR="004F13A4" w:rsidRPr="00445644">
        <w:t xml:space="preserve"> Compensation; other funding sources.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(B) The oversight committee is encouraged to apply for and may expend grants, gifts, or federal funds it receives from other sources to carry out its duties and responsibilities.</w:t>
      </w: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3A4" w:rsidRPr="00445644">
        <w:t xml:space="preserve">: 2010 Act No. 273, </w:t>
      </w:r>
      <w:r w:rsidRPr="00445644">
        <w:t xml:space="preserve">Section </w:t>
      </w:r>
      <w:r w:rsidR="004F13A4" w:rsidRPr="00445644">
        <w:t>62, eff June 2, 2010.</w:t>
      </w:r>
    </w:p>
    <w:p w:rsidR="00445644" w:rsidRP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rPr>
          <w:b/>
        </w:rPr>
        <w:t xml:space="preserve">SECTION </w:t>
      </w:r>
      <w:r w:rsidR="004F13A4" w:rsidRPr="00445644">
        <w:rPr>
          <w:b/>
        </w:rPr>
        <w:t>24</w:t>
      </w:r>
      <w:r w:rsidRPr="00445644">
        <w:rPr>
          <w:b/>
        </w:rPr>
        <w:noBreakHyphen/>
      </w:r>
      <w:r w:rsidR="004F13A4" w:rsidRPr="00445644">
        <w:rPr>
          <w:b/>
        </w:rPr>
        <w:t>28</w:t>
      </w:r>
      <w:r w:rsidRPr="00445644">
        <w:rPr>
          <w:b/>
        </w:rPr>
        <w:noBreakHyphen/>
      </w:r>
      <w:r w:rsidR="004F13A4" w:rsidRPr="00445644">
        <w:rPr>
          <w:b/>
        </w:rPr>
        <w:t>50.</w:t>
      </w:r>
      <w:r w:rsidR="004F13A4" w:rsidRPr="00445644">
        <w:t xml:space="preserve"> Committee must use clerical and professional employees of the General Assembly; other professional staff; consultants.</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(A) The oversight committee must use clerical and professional employees of the General Assembly for its staff, who must be made available to the oversight committee.</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(B) The oversight committee may employ or retain other professional staff, upon the determination of the necessity for other staff by the oversight committee.</w:t>
      </w:r>
    </w:p>
    <w:p w:rsidR="00445644" w:rsidRDefault="004F13A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644">
        <w:tab/>
        <w:t>(C) The oversight committee may employ consultants to assist in the evaluations and, when necessary, the implementation of the recommendations of the Sentencing Reform Commission report of February 2010.</w:t>
      </w: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644" w:rsidRDefault="00445644"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3A4" w:rsidRPr="00445644">
        <w:t xml:space="preserve">: 2010 Act No. 273, </w:t>
      </w:r>
      <w:r w:rsidRPr="00445644">
        <w:t xml:space="preserve">Section </w:t>
      </w:r>
      <w:r w:rsidR="004F13A4" w:rsidRPr="00445644">
        <w:t>62, eff June 2, 2010.</w:t>
      </w:r>
    </w:p>
    <w:p w:rsidR="008E2A22" w:rsidRPr="00445644" w:rsidRDefault="008E2A22" w:rsidP="00445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E2A22" w:rsidRPr="00445644" w:rsidSect="004456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644" w:rsidRDefault="00445644" w:rsidP="00445644">
      <w:r>
        <w:separator/>
      </w:r>
    </w:p>
  </w:endnote>
  <w:endnote w:type="continuationSeparator" w:id="0">
    <w:p w:rsidR="00445644" w:rsidRDefault="00445644" w:rsidP="0044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644" w:rsidRDefault="00445644" w:rsidP="00445644">
      <w:r>
        <w:separator/>
      </w:r>
    </w:p>
  </w:footnote>
  <w:footnote w:type="continuationSeparator" w:id="0">
    <w:p w:rsidR="00445644" w:rsidRDefault="00445644" w:rsidP="0044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44" w:rsidRPr="00445644" w:rsidRDefault="00445644" w:rsidP="00445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A4"/>
    <w:rsid w:val="00332AD4"/>
    <w:rsid w:val="00445644"/>
    <w:rsid w:val="004F13A4"/>
    <w:rsid w:val="008E2A22"/>
    <w:rsid w:val="00B60791"/>
    <w:rsid w:val="00E1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2F3BA-7F29-4B50-B90A-EB58E06B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22"/>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2A22"/>
    <w:rPr>
      <w:rFonts w:ascii="Consolas" w:eastAsia="Times New Roman" w:hAnsi="Consolas"/>
    </w:rPr>
  </w:style>
  <w:style w:type="paragraph" w:styleId="Header">
    <w:name w:val="header"/>
    <w:basedOn w:val="Normal"/>
    <w:link w:val="HeaderChar"/>
    <w:uiPriority w:val="99"/>
    <w:unhideWhenUsed/>
    <w:rsid w:val="00445644"/>
    <w:pPr>
      <w:tabs>
        <w:tab w:val="center" w:pos="4680"/>
        <w:tab w:val="right" w:pos="9360"/>
      </w:tabs>
    </w:pPr>
  </w:style>
  <w:style w:type="character" w:customStyle="1" w:styleId="HeaderChar">
    <w:name w:val="Header Char"/>
    <w:basedOn w:val="DefaultParagraphFont"/>
    <w:link w:val="Header"/>
    <w:uiPriority w:val="99"/>
    <w:rsid w:val="00445644"/>
    <w:rPr>
      <w:sz w:val="22"/>
      <w:szCs w:val="24"/>
    </w:rPr>
  </w:style>
  <w:style w:type="paragraph" w:styleId="Footer">
    <w:name w:val="footer"/>
    <w:basedOn w:val="Normal"/>
    <w:link w:val="FooterChar"/>
    <w:uiPriority w:val="99"/>
    <w:unhideWhenUsed/>
    <w:rsid w:val="00445644"/>
    <w:pPr>
      <w:tabs>
        <w:tab w:val="center" w:pos="4680"/>
        <w:tab w:val="right" w:pos="9360"/>
      </w:tabs>
    </w:pPr>
  </w:style>
  <w:style w:type="character" w:customStyle="1" w:styleId="FooterChar">
    <w:name w:val="Footer Char"/>
    <w:basedOn w:val="DefaultParagraphFont"/>
    <w:link w:val="Footer"/>
    <w:uiPriority w:val="99"/>
    <w:rsid w:val="0044564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2017-10-24T17:00:00Z</dcterms:created>
  <dcterms:modified xsi:type="dcterms:W3CDTF">2017-10-24T17:00:00Z</dcterms:modified>
</cp:coreProperties>
</file>