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7F4" w:rsidRDefault="008D67F4" w:rsidP="00EB3C74">
      <w:bookmarkStart w:id="0" w:name="_GoBack"/>
      <w:bookmarkEnd w:id="0"/>
      <w:r>
        <w:t>Agency Name: Department of Employment and Workforce</w:t>
      </w:r>
    </w:p>
    <w:p w:rsidR="008D67F4" w:rsidRDefault="008D67F4" w:rsidP="00EB3C74">
      <w:r>
        <w:t>Statutory Authority: 41-29-110 and 41-31-45(C)</w:t>
      </w:r>
    </w:p>
    <w:p w:rsidR="00A84CDB" w:rsidRDefault="00EB3C74" w:rsidP="00EB3C74">
      <w:r>
        <w:t>Document Number: 4645</w:t>
      </w:r>
    </w:p>
    <w:p w:rsidR="00EB3C74" w:rsidRDefault="008D67F4" w:rsidP="00EB3C74">
      <w:r>
        <w:t>Proposed in State Register Volume and Issue: 40/2</w:t>
      </w:r>
    </w:p>
    <w:p w:rsidR="007F742E" w:rsidRDefault="007F742E" w:rsidP="00EB3C74">
      <w:r>
        <w:t>House Committee: Regulations and Administrative Procedures Committee</w:t>
      </w:r>
    </w:p>
    <w:p w:rsidR="007F742E" w:rsidRDefault="007F742E" w:rsidP="00EB3C74">
      <w:r>
        <w:t>Senate Committee: Labor, Commerce and Industry Committee</w:t>
      </w:r>
    </w:p>
    <w:p w:rsidR="004231A1" w:rsidRDefault="004231A1" w:rsidP="00EB3C74">
      <w:r>
        <w:t>120 Day Review Expiration Date for Automatic Approval: 03/21/2017</w:t>
      </w:r>
    </w:p>
    <w:p w:rsidR="007D560D" w:rsidRDefault="007D560D" w:rsidP="00EB3C74">
      <w:r>
        <w:t>Final in State Register Volume and Issue: 40/6</w:t>
      </w:r>
    </w:p>
    <w:p w:rsidR="007D560D" w:rsidRDefault="008D67F4" w:rsidP="00EB3C74">
      <w:r>
        <w:t xml:space="preserve">Status: </w:t>
      </w:r>
      <w:r w:rsidR="007D560D">
        <w:t>Final</w:t>
      </w:r>
    </w:p>
    <w:p w:rsidR="008D67F4" w:rsidRDefault="008D67F4" w:rsidP="00EB3C74">
      <w:r>
        <w:t>Subject: Unemployment Trust Fund Solvency</w:t>
      </w:r>
    </w:p>
    <w:p w:rsidR="008D67F4" w:rsidRDefault="008D67F4" w:rsidP="00EB3C74"/>
    <w:p w:rsidR="00EB3C74" w:rsidRDefault="00EB3C74" w:rsidP="00EB3C74">
      <w:r>
        <w:t>History: 4645</w:t>
      </w:r>
    </w:p>
    <w:p w:rsidR="00EB3C74" w:rsidRDefault="00EB3C74" w:rsidP="00EB3C74"/>
    <w:p w:rsidR="00EB3C74" w:rsidRDefault="00EB3C74" w:rsidP="00EB3C7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B3C74" w:rsidRDefault="008D67F4" w:rsidP="00EB3C74">
      <w:pPr>
        <w:tabs>
          <w:tab w:val="left" w:pos="475"/>
          <w:tab w:val="left" w:pos="2304"/>
          <w:tab w:val="center" w:pos="6494"/>
          <w:tab w:val="left" w:pos="7373"/>
          <w:tab w:val="left" w:pos="8554"/>
        </w:tabs>
      </w:pPr>
      <w:r>
        <w:t>-</w:t>
      </w:r>
      <w:r>
        <w:tab/>
        <w:t>02/26/2016</w:t>
      </w:r>
      <w:r>
        <w:tab/>
        <w:t xml:space="preserve">Proposed </w:t>
      </w:r>
      <w:proofErr w:type="spellStart"/>
      <w:r>
        <w:t>Reg</w:t>
      </w:r>
      <w:proofErr w:type="spellEnd"/>
      <w:r>
        <w:t xml:space="preserve"> Published in SR</w:t>
      </w:r>
      <w:r>
        <w:tab/>
      </w:r>
    </w:p>
    <w:p w:rsidR="008D67F4" w:rsidRDefault="004231A1" w:rsidP="00EB3C74">
      <w:pPr>
        <w:tabs>
          <w:tab w:val="left" w:pos="475"/>
          <w:tab w:val="left" w:pos="2304"/>
          <w:tab w:val="center" w:pos="6494"/>
          <w:tab w:val="left" w:pos="7373"/>
          <w:tab w:val="left" w:pos="8554"/>
        </w:tabs>
      </w:pPr>
      <w:r>
        <w:t>-</w:t>
      </w:r>
      <w:r>
        <w:tab/>
        <w:t>04/14/2016</w:t>
      </w:r>
      <w:r>
        <w:tab/>
        <w:t xml:space="preserve">Received by Lt. </w:t>
      </w:r>
      <w:proofErr w:type="spellStart"/>
      <w:r>
        <w:t>Gov</w:t>
      </w:r>
      <w:proofErr w:type="spellEnd"/>
      <w:r>
        <w:t xml:space="preserve"> &amp; Speaker</w:t>
      </w:r>
      <w:r>
        <w:tab/>
      </w:r>
      <w:r>
        <w:tab/>
        <w:t>03/21/2017</w:t>
      </w:r>
    </w:p>
    <w:p w:rsidR="004231A1" w:rsidRDefault="007F742E" w:rsidP="00EB3C74">
      <w:pPr>
        <w:tabs>
          <w:tab w:val="left" w:pos="475"/>
          <w:tab w:val="left" w:pos="2304"/>
          <w:tab w:val="center" w:pos="6494"/>
          <w:tab w:val="left" w:pos="7373"/>
          <w:tab w:val="left" w:pos="8554"/>
        </w:tabs>
      </w:pPr>
      <w:r>
        <w:t>H</w:t>
      </w:r>
      <w:r>
        <w:tab/>
        <w:t>04/14/2016</w:t>
      </w:r>
      <w:r>
        <w:tab/>
        <w:t>Referred to Committee</w:t>
      </w:r>
      <w:r>
        <w:tab/>
      </w:r>
    </w:p>
    <w:p w:rsidR="007F742E" w:rsidRDefault="007F742E" w:rsidP="00EB3C74">
      <w:pPr>
        <w:tabs>
          <w:tab w:val="left" w:pos="475"/>
          <w:tab w:val="left" w:pos="2304"/>
          <w:tab w:val="center" w:pos="6494"/>
          <w:tab w:val="left" w:pos="7373"/>
          <w:tab w:val="left" w:pos="8554"/>
        </w:tabs>
      </w:pPr>
      <w:r>
        <w:t>S</w:t>
      </w:r>
      <w:r>
        <w:tab/>
        <w:t>04/14/2016</w:t>
      </w:r>
      <w:r>
        <w:tab/>
        <w:t>Referred to Committee</w:t>
      </w:r>
      <w:r>
        <w:tab/>
      </w:r>
    </w:p>
    <w:p w:rsidR="007F742E" w:rsidRDefault="0058728F" w:rsidP="00EB3C74">
      <w:pPr>
        <w:tabs>
          <w:tab w:val="left" w:pos="475"/>
          <w:tab w:val="left" w:pos="2304"/>
          <w:tab w:val="center" w:pos="6494"/>
          <w:tab w:val="left" w:pos="7373"/>
          <w:tab w:val="left" w:pos="8554"/>
        </w:tabs>
      </w:pPr>
      <w:r>
        <w:t>H</w:t>
      </w:r>
      <w:r>
        <w:tab/>
        <w:t>05/18/2016</w:t>
      </w:r>
      <w:r>
        <w:tab/>
        <w:t>Resolution Introduced to Approve</w:t>
      </w:r>
      <w:r>
        <w:tab/>
        <w:t>5364</w:t>
      </w:r>
    </w:p>
    <w:p w:rsidR="0058728F" w:rsidRDefault="0058728F" w:rsidP="00EB3C74">
      <w:pPr>
        <w:tabs>
          <w:tab w:val="left" w:pos="475"/>
          <w:tab w:val="left" w:pos="2304"/>
          <w:tab w:val="center" w:pos="6494"/>
          <w:tab w:val="left" w:pos="7373"/>
          <w:tab w:val="left" w:pos="8554"/>
        </w:tabs>
      </w:pPr>
      <w:r>
        <w:t>S</w:t>
      </w:r>
      <w:r>
        <w:tab/>
        <w:t>05/18/2016</w:t>
      </w:r>
      <w:r>
        <w:tab/>
        <w:t>Resolution Introduced to Approve</w:t>
      </w:r>
      <w:r>
        <w:tab/>
        <w:t>1322</w:t>
      </w:r>
    </w:p>
    <w:p w:rsidR="0058728F" w:rsidRDefault="007D560D" w:rsidP="00EB3C74">
      <w:pPr>
        <w:tabs>
          <w:tab w:val="left" w:pos="475"/>
          <w:tab w:val="left" w:pos="2304"/>
          <w:tab w:val="center" w:pos="6494"/>
          <w:tab w:val="left" w:pos="7373"/>
          <w:tab w:val="left" w:pos="8554"/>
        </w:tabs>
      </w:pPr>
      <w:r>
        <w:t>H</w:t>
      </w:r>
      <w:r>
        <w:tab/>
        <w:t>06/08/2016</w:t>
      </w:r>
      <w:r>
        <w:tab/>
        <w:t>Approved by:  Ratification No. 290</w:t>
      </w:r>
    </w:p>
    <w:p w:rsidR="007D560D" w:rsidRDefault="007D560D" w:rsidP="00EB3C74">
      <w:pPr>
        <w:tabs>
          <w:tab w:val="left" w:pos="475"/>
          <w:tab w:val="left" w:pos="2304"/>
          <w:tab w:val="center" w:pos="6494"/>
          <w:tab w:val="left" w:pos="7373"/>
          <w:tab w:val="left" w:pos="8554"/>
        </w:tabs>
      </w:pPr>
      <w:r>
        <w:t>-</w:t>
      </w:r>
      <w:r>
        <w:tab/>
        <w:t>06/24/2016</w:t>
      </w:r>
      <w:r>
        <w:tab/>
        <w:t>Effective Date unless otherwise</w:t>
      </w:r>
    </w:p>
    <w:p w:rsidR="007D560D" w:rsidRDefault="007D560D" w:rsidP="00EB3C7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D560D" w:rsidRPr="007D560D" w:rsidRDefault="007D560D" w:rsidP="00EB3C74">
      <w:pPr>
        <w:tabs>
          <w:tab w:val="left" w:pos="475"/>
          <w:tab w:val="left" w:pos="2304"/>
          <w:tab w:val="center" w:pos="6494"/>
          <w:tab w:val="left" w:pos="7373"/>
          <w:tab w:val="left" w:pos="8554"/>
        </w:tabs>
      </w:pPr>
    </w:p>
    <w:p w:rsidR="005B1185" w:rsidRPr="00260A39" w:rsidRDefault="00EB3C74" w:rsidP="00A31DCD">
      <w:pPr>
        <w:jc w:val="center"/>
      </w:pPr>
      <w:r>
        <w:br w:type="page"/>
      </w:r>
      <w:r w:rsidR="005B1185">
        <w:lastRenderedPageBreak/>
        <w:t>Document No. 4645</w:t>
      </w:r>
    </w:p>
    <w:p w:rsidR="005B1185" w:rsidRPr="00595951" w:rsidRDefault="005B1185" w:rsidP="00A31DCD">
      <w:pPr>
        <w:jc w:val="center"/>
        <w:rPr>
          <w:b/>
        </w:rPr>
      </w:pPr>
      <w:r w:rsidRPr="00595951">
        <w:rPr>
          <w:b/>
        </w:rPr>
        <w:t>DEPARTMENT OF EMPLOYMENT AND WORKFORCE</w:t>
      </w:r>
    </w:p>
    <w:p w:rsidR="005B1185" w:rsidRDefault="005B1185" w:rsidP="00A31DCD">
      <w:pPr>
        <w:jc w:val="center"/>
      </w:pPr>
      <w:r>
        <w:t>CHAPTER</w:t>
      </w:r>
      <w:r w:rsidRPr="00E1217E">
        <w:t xml:space="preserve"> 47</w:t>
      </w:r>
    </w:p>
    <w:p w:rsidR="005B1185" w:rsidRPr="00E1217E" w:rsidRDefault="005B1185" w:rsidP="00A31DCD">
      <w:pPr>
        <w:jc w:val="center"/>
      </w:pPr>
      <w:r>
        <w:t xml:space="preserve">Statutory Authority: 1976 Code Sections 41-29-110 and </w:t>
      </w:r>
      <w:r w:rsidRPr="008518B3">
        <w:t>41-31-45(C)</w:t>
      </w:r>
    </w:p>
    <w:p w:rsidR="005B1185" w:rsidRDefault="005B1185" w:rsidP="00066711"/>
    <w:p w:rsidR="005B1185" w:rsidRDefault="005B1185" w:rsidP="00066711">
      <w:r>
        <w:t>47-501. Unemployment Trust Fund Solvency</w:t>
      </w:r>
    </w:p>
    <w:p w:rsidR="005B1185" w:rsidRDefault="005B1185" w:rsidP="00066711"/>
    <w:p w:rsidR="005B1185" w:rsidRDefault="005B1185" w:rsidP="00066711">
      <w:pPr>
        <w:rPr>
          <w:rFonts w:cs="Times New Roman"/>
        </w:rPr>
      </w:pPr>
      <w:r>
        <w:rPr>
          <w:rFonts w:cs="Times New Roman"/>
          <w:b/>
        </w:rPr>
        <w:t xml:space="preserve">Synopsis: </w:t>
      </w:r>
    </w:p>
    <w:p w:rsidR="005B1185" w:rsidRDefault="005B1185" w:rsidP="00066711">
      <w:pPr>
        <w:rPr>
          <w:rFonts w:cs="Times New Roman"/>
        </w:rPr>
      </w:pPr>
    </w:p>
    <w:p w:rsidR="005B1185" w:rsidRDefault="005B1185" w:rsidP="00066711">
      <w:r w:rsidRPr="008518B3">
        <w:t xml:space="preserve">The South Carolina Department of Employment and Workforce proposes to </w:t>
      </w:r>
      <w:r>
        <w:t>amend Regulation</w:t>
      </w:r>
      <w:r w:rsidRPr="008518B3">
        <w:t xml:space="preserve"> 47-501 </w:t>
      </w:r>
      <w:r>
        <w:t xml:space="preserve">in Article 5. Unemployment Trust Fund Solvency, to have the initial rebuilding period remain at five (5) years and to have any and all subsequent rebuilding periods be four (4) years. </w:t>
      </w:r>
    </w:p>
    <w:p w:rsidR="005B1185" w:rsidRDefault="005B1185" w:rsidP="00066711">
      <w:pPr>
        <w:rPr>
          <w:rFonts w:cs="Times New Roman"/>
        </w:rPr>
      </w:pPr>
    </w:p>
    <w:p w:rsidR="005B1185" w:rsidRPr="00404562" w:rsidRDefault="005B1185" w:rsidP="00066711">
      <w:pPr>
        <w:rPr>
          <w:rFonts w:cs="Times New Roman"/>
        </w:rPr>
      </w:pPr>
      <w:r>
        <w:rPr>
          <w:rFonts w:cs="Times New Roman"/>
        </w:rPr>
        <w:t xml:space="preserve">Notice of Drafting for the proposed regulation was published in the </w:t>
      </w:r>
      <w:r>
        <w:rPr>
          <w:rFonts w:cs="Times New Roman"/>
          <w:i/>
        </w:rPr>
        <w:t>State Register</w:t>
      </w:r>
      <w:r>
        <w:rPr>
          <w:rFonts w:cs="Times New Roman"/>
        </w:rPr>
        <w:t xml:space="preserve"> on January 22, 2016.</w:t>
      </w:r>
    </w:p>
    <w:p w:rsidR="005B1185" w:rsidRDefault="005B1185" w:rsidP="00066711">
      <w:pPr>
        <w:rPr>
          <w:rFonts w:cs="Times New Roman"/>
        </w:rPr>
      </w:pPr>
    </w:p>
    <w:p w:rsidR="005B1185" w:rsidRDefault="005B1185" w:rsidP="00A04B78">
      <w:pPr>
        <w:jc w:val="center"/>
        <w:rPr>
          <w:rFonts w:cs="Times New Roman"/>
        </w:rPr>
      </w:pPr>
      <w:r>
        <w:rPr>
          <w:rFonts w:cs="Times New Roman"/>
        </w:rPr>
        <w:t>Section-by-Section Discussion</w:t>
      </w:r>
    </w:p>
    <w:p w:rsidR="005B1185" w:rsidRDefault="005B1185" w:rsidP="00066711">
      <w:pPr>
        <w:rPr>
          <w:rFonts w:cs="Times New Roman"/>
        </w:rPr>
      </w:pPr>
    </w:p>
    <w:p w:rsidR="005B1185" w:rsidRDefault="005B1185" w:rsidP="00066711">
      <w:pPr>
        <w:rPr>
          <w:rFonts w:cs="Times New Roman"/>
        </w:rPr>
      </w:pPr>
      <w:r>
        <w:rPr>
          <w:rFonts w:cs="Times New Roman"/>
        </w:rPr>
        <w:t>47-501. Unemployment Trust Fund Solvency.</w:t>
      </w:r>
    </w:p>
    <w:p w:rsidR="005B1185" w:rsidRDefault="005B1185" w:rsidP="00066711">
      <w:pPr>
        <w:rPr>
          <w:rFonts w:cs="Times New Roman"/>
        </w:rPr>
      </w:pPr>
    </w:p>
    <w:p w:rsidR="005B1185" w:rsidRDefault="005B1185" w:rsidP="00066711">
      <w:pPr>
        <w:rPr>
          <w:rFonts w:cs="Times New Roman"/>
        </w:rPr>
      </w:pPr>
      <w:r>
        <w:rPr>
          <w:rFonts w:cs="Times New Roman"/>
        </w:rPr>
        <w:t xml:space="preserve">This section provides details on how the income necessary to be raised each year to set state unemployment insurance tax rates will be determined based on economic conditions. The proposed amendment revises the rebuilding period for subsequent rebuilds from five (5) years to four (4) years. </w:t>
      </w:r>
    </w:p>
    <w:p w:rsidR="005B1185" w:rsidRDefault="005B1185" w:rsidP="00066711">
      <w:pPr>
        <w:rPr>
          <w:rFonts w:cs="Times New Roman"/>
        </w:rPr>
      </w:pPr>
    </w:p>
    <w:p w:rsidR="005B1185" w:rsidRDefault="005B1185" w:rsidP="00066711">
      <w:pPr>
        <w:rPr>
          <w:rFonts w:cs="Times New Roman"/>
          <w:b/>
        </w:rPr>
      </w:pPr>
      <w:r>
        <w:rPr>
          <w:rFonts w:cs="Times New Roman"/>
          <w:b/>
        </w:rPr>
        <w:t>Instructions:</w:t>
      </w:r>
    </w:p>
    <w:p w:rsidR="005B1185" w:rsidRDefault="005B1185" w:rsidP="00066711">
      <w:pPr>
        <w:rPr>
          <w:rFonts w:cs="Times New Roman"/>
          <w:b/>
        </w:rPr>
      </w:pPr>
    </w:p>
    <w:p w:rsidR="007D560D" w:rsidRDefault="005B1185" w:rsidP="00066711">
      <w:pPr>
        <w:rPr>
          <w:rFonts w:cs="Times New Roman"/>
        </w:rPr>
      </w:pPr>
      <w:r>
        <w:rPr>
          <w:rFonts w:cs="Times New Roman"/>
        </w:rPr>
        <w:t>Replace Regulation 47-501 as shown below.</w:t>
      </w:r>
    </w:p>
    <w:p w:rsidR="007D560D" w:rsidRDefault="007D560D" w:rsidP="00066711">
      <w:pPr>
        <w:rPr>
          <w:rFonts w:cs="Times New Roman"/>
        </w:rPr>
      </w:pPr>
    </w:p>
    <w:p w:rsidR="005B1185" w:rsidRDefault="005B1185" w:rsidP="00066711">
      <w:r>
        <w:rPr>
          <w:b/>
        </w:rPr>
        <w:t>Text:</w:t>
      </w:r>
    </w:p>
    <w:p w:rsidR="005B1185" w:rsidRPr="007D560D" w:rsidRDefault="005B1185" w:rsidP="00066711"/>
    <w:p w:rsidR="005B1185" w:rsidRPr="007D560D" w:rsidRDefault="005B1185" w:rsidP="00066711">
      <w:r w:rsidRPr="007D560D">
        <w:t>47-501. Unemployment Trust Fund Solvency.</w:t>
      </w:r>
    </w:p>
    <w:p w:rsidR="005B1185" w:rsidRPr="007D560D" w:rsidRDefault="005B1185" w:rsidP="00066711"/>
    <w:p w:rsidR="005B1185" w:rsidRPr="007D560D" w:rsidRDefault="005B1185" w:rsidP="00066711">
      <w:pPr>
        <w:rPr>
          <w:rFonts w:eastAsia="Calibri" w:cs="Times New Roman"/>
        </w:rPr>
      </w:pPr>
      <w:r w:rsidRPr="007D560D">
        <w:rPr>
          <w:rFonts w:eastAsia="Calibri" w:cs="Times New Roman"/>
        </w:rPr>
        <w:tab/>
        <w:t>Pursuant to South Carolina Code Annotated Section 41-31-45(C) and Section 41-31-50(1</w:t>
      </w:r>
      <w:proofErr w:type="gramStart"/>
      <w:r w:rsidRPr="007D560D">
        <w:rPr>
          <w:rFonts w:eastAsia="Calibri" w:cs="Times New Roman"/>
        </w:rPr>
        <w:t>)(</w:t>
      </w:r>
      <w:proofErr w:type="gramEnd"/>
      <w:r w:rsidRPr="007D560D">
        <w:rPr>
          <w:rFonts w:eastAsia="Calibri" w:cs="Times New Roman"/>
        </w:rPr>
        <w:t xml:space="preserve">b), the Department must annually calculate the income necessary to pay benefits and reach the fund adequacy target for the unemployment trust fund. The Department determines the total income needed as follows: </w:t>
      </w:r>
    </w:p>
    <w:p w:rsidR="005B1185" w:rsidRPr="007D560D" w:rsidRDefault="005B1185" w:rsidP="00066711">
      <w:pPr>
        <w:rPr>
          <w:rFonts w:eastAsia="Calibri" w:cs="Times New Roman"/>
        </w:rPr>
      </w:pPr>
    </w:p>
    <w:p w:rsidR="005B1185" w:rsidRPr="007D560D" w:rsidRDefault="005B1185" w:rsidP="008D67F4">
      <w:pPr>
        <w:tabs>
          <w:tab w:val="left" w:pos="216"/>
          <w:tab w:val="left" w:pos="432"/>
          <w:tab w:val="left" w:pos="648"/>
          <w:tab w:val="left" w:pos="810"/>
        </w:tabs>
        <w:rPr>
          <w:rFonts w:eastAsia="Calibri" w:cs="Times New Roman"/>
        </w:rPr>
      </w:pPr>
      <w:r w:rsidRPr="007D560D">
        <w:rPr>
          <w:rFonts w:eastAsia="Calibri" w:cs="Times New Roman"/>
        </w:rPr>
        <w:tab/>
        <w:t xml:space="preserve">(1) Projected benefits will be determined for the next tax year in consultation with the United States Department of Labor and with annual data provided by the Congressional Budget Office, subject to subsection (2). </w:t>
      </w:r>
    </w:p>
    <w:p w:rsidR="005B1185" w:rsidRPr="007D560D" w:rsidRDefault="005B1185" w:rsidP="008D67F4">
      <w:pPr>
        <w:tabs>
          <w:tab w:val="left" w:pos="216"/>
          <w:tab w:val="left" w:pos="432"/>
          <w:tab w:val="left" w:pos="648"/>
        </w:tabs>
        <w:ind w:left="645" w:hanging="645"/>
        <w:rPr>
          <w:rFonts w:eastAsia="Calibri" w:cs="Times New Roman"/>
        </w:rPr>
      </w:pPr>
    </w:p>
    <w:p w:rsidR="005B1185" w:rsidRPr="007D560D" w:rsidRDefault="005B1185" w:rsidP="008D67F4">
      <w:pPr>
        <w:tabs>
          <w:tab w:val="left" w:pos="216"/>
          <w:tab w:val="left" w:pos="432"/>
          <w:tab w:val="left" w:pos="648"/>
          <w:tab w:val="left" w:pos="810"/>
        </w:tabs>
        <w:rPr>
          <w:rFonts w:eastAsia="Calibri" w:cs="Times New Roman"/>
        </w:rPr>
      </w:pPr>
      <w:r w:rsidRPr="007D560D">
        <w:rPr>
          <w:rFonts w:eastAsia="Calibri" w:cs="Times New Roman"/>
        </w:rPr>
        <w:tab/>
        <w:t>(2) The income needed to pay benefits and return the unemployment trust fund to the fund adequacy target may also include a solvency surcharge. A solvency surcharge shall be in effect for each tax year that the trust fund reserve is less than the fund adequacy target, as of June 30</w:t>
      </w:r>
      <w:r w:rsidRPr="007D560D">
        <w:rPr>
          <w:rFonts w:eastAsia="Calibri" w:cs="Times New Roman"/>
          <w:vertAlign w:val="superscript"/>
        </w:rPr>
        <w:t>th</w:t>
      </w:r>
      <w:r w:rsidRPr="007D560D">
        <w:rPr>
          <w:rFonts w:eastAsia="Calibri" w:cs="Times New Roman"/>
        </w:rPr>
        <w:t xml:space="preserve">, subject to 47-501(2)(a). The aggregate amount of the solvency surcharge will be determined for each tax year to be the amount calculated to return the unemployment trust fund to the fund adequacy target within five years subject to the following: </w:t>
      </w:r>
    </w:p>
    <w:p w:rsidR="005B1185" w:rsidRPr="007D560D" w:rsidRDefault="005B1185" w:rsidP="008D67F4">
      <w:pPr>
        <w:tabs>
          <w:tab w:val="left" w:pos="216"/>
          <w:tab w:val="left" w:pos="432"/>
          <w:tab w:val="left" w:pos="648"/>
        </w:tabs>
        <w:ind w:left="645" w:hanging="645"/>
        <w:rPr>
          <w:rFonts w:eastAsia="Calibri" w:cs="Times New Roman"/>
        </w:rPr>
      </w:pPr>
    </w:p>
    <w:p w:rsidR="005B1185" w:rsidRPr="007D560D" w:rsidRDefault="005B1185" w:rsidP="008D67F4">
      <w:pPr>
        <w:tabs>
          <w:tab w:val="left" w:pos="216"/>
          <w:tab w:val="left" w:pos="432"/>
          <w:tab w:val="left" w:pos="648"/>
          <w:tab w:val="left" w:pos="720"/>
        </w:tabs>
        <w:rPr>
          <w:rFonts w:eastAsia="Calibri" w:cs="Times New Roman"/>
        </w:rPr>
      </w:pPr>
      <w:r w:rsidRPr="007D560D">
        <w:rPr>
          <w:rFonts w:eastAsia="Calibri" w:cs="Times New Roman"/>
        </w:rPr>
        <w:tab/>
      </w:r>
      <w:r w:rsidRPr="007D560D">
        <w:rPr>
          <w:rFonts w:eastAsia="Calibri" w:cs="Times New Roman"/>
        </w:rPr>
        <w:tab/>
        <w:t xml:space="preserve">(a) When actual benefits paid in the prior fiscal year are greater than the actual tax collections received in the prior fiscal year, then the cap, as defined in 47-500(7), is triggered. For the purpose of this section, tax collections shall exclude all penalties, interests, contingency surcharges, and recording fees. Once the cap is triggered then: </w:t>
      </w:r>
    </w:p>
    <w:p w:rsidR="005B1185" w:rsidRPr="007D560D" w:rsidRDefault="005B1185" w:rsidP="008D67F4">
      <w:pPr>
        <w:tabs>
          <w:tab w:val="left" w:pos="216"/>
          <w:tab w:val="left" w:pos="432"/>
          <w:tab w:val="left" w:pos="648"/>
        </w:tabs>
        <w:rPr>
          <w:rFonts w:eastAsia="Calibri" w:cs="Times New Roman"/>
        </w:rPr>
      </w:pPr>
    </w:p>
    <w:p w:rsidR="005B1185" w:rsidRPr="007D560D" w:rsidRDefault="005B1185" w:rsidP="008D67F4">
      <w:pPr>
        <w:tabs>
          <w:tab w:val="left" w:pos="216"/>
          <w:tab w:val="left" w:pos="432"/>
          <w:tab w:val="left" w:pos="648"/>
        </w:tabs>
        <w:rPr>
          <w:rFonts w:eastAsia="Calibri" w:cs="Times New Roman"/>
        </w:rPr>
      </w:pPr>
      <w:r w:rsidRPr="007D560D">
        <w:rPr>
          <w:rFonts w:eastAsia="Calibri" w:cs="Times New Roman"/>
        </w:rPr>
        <w:lastRenderedPageBreak/>
        <w:tab/>
      </w:r>
      <w:r w:rsidRPr="007D560D">
        <w:rPr>
          <w:rFonts w:eastAsia="Calibri" w:cs="Times New Roman"/>
        </w:rPr>
        <w:tab/>
      </w:r>
      <w:r w:rsidRPr="007D560D">
        <w:rPr>
          <w:rFonts w:eastAsia="Calibri" w:cs="Times New Roman"/>
        </w:rPr>
        <w:tab/>
        <w:t>(</w:t>
      </w:r>
      <w:proofErr w:type="spellStart"/>
      <w:r w:rsidRPr="007D560D">
        <w:rPr>
          <w:rFonts w:eastAsia="Calibri" w:cs="Times New Roman"/>
        </w:rPr>
        <w:t>i</w:t>
      </w:r>
      <w:proofErr w:type="spellEnd"/>
      <w:r w:rsidRPr="007D560D">
        <w:rPr>
          <w:rFonts w:eastAsia="Calibri" w:cs="Times New Roman"/>
        </w:rPr>
        <w:t>) If projected benefits for the next year are less than the cap, then the solvency surcharge shall be the difference between the cap and the projected benefits.</w:t>
      </w:r>
    </w:p>
    <w:p w:rsidR="005B1185" w:rsidRPr="007D560D" w:rsidRDefault="005B1185" w:rsidP="008D67F4">
      <w:pPr>
        <w:tabs>
          <w:tab w:val="left" w:pos="216"/>
          <w:tab w:val="left" w:pos="432"/>
          <w:tab w:val="left" w:pos="648"/>
        </w:tabs>
        <w:rPr>
          <w:rFonts w:eastAsia="Calibri" w:cs="Times New Roman"/>
        </w:rPr>
      </w:pPr>
    </w:p>
    <w:p w:rsidR="005B1185" w:rsidRPr="007D560D" w:rsidRDefault="005B1185" w:rsidP="008D67F4">
      <w:pPr>
        <w:tabs>
          <w:tab w:val="left" w:pos="216"/>
          <w:tab w:val="left" w:pos="432"/>
          <w:tab w:val="left" w:pos="648"/>
        </w:tabs>
        <w:rPr>
          <w:rFonts w:eastAsia="Calibri" w:cs="Times New Roman"/>
        </w:rPr>
      </w:pPr>
      <w:r w:rsidRPr="007D560D">
        <w:rPr>
          <w:rFonts w:eastAsia="Calibri" w:cs="Times New Roman"/>
        </w:rPr>
        <w:tab/>
      </w:r>
      <w:r w:rsidRPr="007D560D">
        <w:rPr>
          <w:rFonts w:eastAsia="Calibri" w:cs="Times New Roman"/>
        </w:rPr>
        <w:tab/>
      </w:r>
      <w:r w:rsidRPr="007D560D">
        <w:rPr>
          <w:rFonts w:eastAsia="Calibri" w:cs="Times New Roman"/>
        </w:rPr>
        <w:tab/>
        <w:t xml:space="preserve">(ii) If projected benefits for the next tax year are equal to the cap, then no additional solvency surcharge will be added for the next tax year. </w:t>
      </w:r>
    </w:p>
    <w:p w:rsidR="005B1185" w:rsidRPr="007D560D" w:rsidRDefault="005B1185" w:rsidP="008D67F4">
      <w:pPr>
        <w:tabs>
          <w:tab w:val="left" w:pos="216"/>
          <w:tab w:val="left" w:pos="432"/>
          <w:tab w:val="left" w:pos="648"/>
        </w:tabs>
        <w:rPr>
          <w:rFonts w:eastAsia="Calibri" w:cs="Times New Roman"/>
        </w:rPr>
      </w:pPr>
    </w:p>
    <w:p w:rsidR="005B1185" w:rsidRPr="007D560D" w:rsidRDefault="005B1185" w:rsidP="008D67F4">
      <w:pPr>
        <w:tabs>
          <w:tab w:val="left" w:pos="216"/>
          <w:tab w:val="left" w:pos="432"/>
          <w:tab w:val="left" w:pos="648"/>
          <w:tab w:val="left" w:pos="810"/>
        </w:tabs>
        <w:rPr>
          <w:rFonts w:eastAsia="Calibri" w:cs="Times New Roman"/>
        </w:rPr>
      </w:pPr>
      <w:r w:rsidRPr="007D560D">
        <w:rPr>
          <w:rFonts w:eastAsia="Calibri" w:cs="Times New Roman"/>
        </w:rPr>
        <w:tab/>
        <w:t>(3) The aggregate amount of the solvency surcharge for the trust fund rebuild that began with tax year 2016 will be determined for each tax year to be the amount calculated to return the unemployment trust fund to the fund adequacy target within five years. Once the fund adequacy target has been met pursuant to this item, future fund adequacy targets shall be met pursuant to item (4).</w:t>
      </w:r>
      <w:r w:rsidRPr="007D560D">
        <w:rPr>
          <w:rFonts w:eastAsia="Calibri" w:cs="Times New Roman"/>
        </w:rPr>
        <w:tab/>
      </w:r>
    </w:p>
    <w:p w:rsidR="005B1185" w:rsidRPr="007D560D" w:rsidRDefault="005B1185" w:rsidP="008D67F4">
      <w:pPr>
        <w:tabs>
          <w:tab w:val="left" w:pos="216"/>
          <w:tab w:val="left" w:pos="432"/>
          <w:tab w:val="left" w:pos="648"/>
        </w:tabs>
        <w:ind w:left="645" w:hanging="645"/>
        <w:rPr>
          <w:rFonts w:eastAsia="Calibri" w:cs="Times New Roman"/>
        </w:rPr>
      </w:pPr>
    </w:p>
    <w:p w:rsidR="005B1185" w:rsidRPr="007D560D" w:rsidRDefault="005B1185" w:rsidP="008D67F4">
      <w:pPr>
        <w:tabs>
          <w:tab w:val="left" w:pos="216"/>
          <w:tab w:val="left" w:pos="432"/>
          <w:tab w:val="left" w:pos="648"/>
          <w:tab w:val="left" w:pos="720"/>
        </w:tabs>
        <w:rPr>
          <w:rFonts w:eastAsia="Calibri" w:cs="Times New Roman"/>
        </w:rPr>
      </w:pPr>
      <w:r w:rsidRPr="007D560D">
        <w:rPr>
          <w:rFonts w:eastAsia="Calibri" w:cs="Times New Roman"/>
        </w:rPr>
        <w:tab/>
        <w:t>(4) After the fund adequacy target has been reached pursuant to item (3) or after the cap has been triggered, as described in 47-501(2), and in the prior fiscal year, actual benefits paid were less than actual tax collections, then tax rates for the next tax year will be set based on returning the unemployment trust fund to the fund adequacy target within the next four years.</w:t>
      </w:r>
    </w:p>
    <w:p w:rsidR="005B1185" w:rsidRPr="007D560D" w:rsidRDefault="005B1185" w:rsidP="008D67F4">
      <w:pPr>
        <w:tabs>
          <w:tab w:val="left" w:pos="216"/>
          <w:tab w:val="left" w:pos="432"/>
          <w:tab w:val="left" w:pos="648"/>
        </w:tabs>
        <w:rPr>
          <w:rFonts w:eastAsia="Calibri" w:cs="Times New Roman"/>
        </w:rPr>
      </w:pPr>
    </w:p>
    <w:p w:rsidR="005B1185" w:rsidRPr="007D560D" w:rsidRDefault="005B1185" w:rsidP="008D67F4">
      <w:pPr>
        <w:tabs>
          <w:tab w:val="left" w:pos="216"/>
          <w:tab w:val="left" w:pos="432"/>
          <w:tab w:val="left" w:pos="648"/>
          <w:tab w:val="left" w:pos="720"/>
        </w:tabs>
        <w:rPr>
          <w:rFonts w:eastAsia="Calibri" w:cs="Times New Roman"/>
        </w:rPr>
      </w:pPr>
      <w:r w:rsidRPr="007D560D">
        <w:rPr>
          <w:rFonts w:eastAsia="Calibri" w:cs="Times New Roman"/>
        </w:rPr>
        <w:tab/>
        <w:t xml:space="preserve">(5) If the balance of the unemployment trust fund, as of the end of the most recently completed fiscal year, is greater than the fund adequacy target, then the Department may use the surplus amount to reduce taxes in the next tax year. </w:t>
      </w:r>
    </w:p>
    <w:p w:rsidR="005B1185" w:rsidRPr="007D560D" w:rsidRDefault="005B1185" w:rsidP="008D67F4">
      <w:pPr>
        <w:tabs>
          <w:tab w:val="left" w:pos="216"/>
          <w:tab w:val="left" w:pos="432"/>
          <w:tab w:val="left" w:pos="648"/>
          <w:tab w:val="left" w:pos="720"/>
        </w:tabs>
        <w:rPr>
          <w:rFonts w:eastAsia="Calibri" w:cs="Times New Roman"/>
        </w:rPr>
      </w:pPr>
    </w:p>
    <w:p w:rsidR="005B1185" w:rsidRPr="007D560D" w:rsidRDefault="005B1185" w:rsidP="008D67F4">
      <w:pPr>
        <w:tabs>
          <w:tab w:val="left" w:pos="216"/>
          <w:tab w:val="left" w:pos="432"/>
          <w:tab w:val="left" w:pos="648"/>
          <w:tab w:val="left" w:pos="810"/>
        </w:tabs>
        <w:rPr>
          <w:rFonts w:eastAsia="Calibri" w:cs="Times New Roman"/>
        </w:rPr>
      </w:pPr>
      <w:r w:rsidRPr="007D560D">
        <w:rPr>
          <w:rFonts w:eastAsia="Calibri" w:cs="Times New Roman"/>
        </w:rPr>
        <w:tab/>
        <w:t xml:space="preserve">(6) Notwithstanding the provisions of 47-501(2), once the fund adequacy target has been met, in subsequent tax years, the solvency surcharge shall be set in the event the unemployment trust fund balance does not meet the fund adequacy target, as of the end of the most recently completed fiscal year, as shown in the following table: </w:t>
      </w:r>
    </w:p>
    <w:p w:rsidR="005B1185" w:rsidRPr="007D560D" w:rsidRDefault="005B1185" w:rsidP="00066711">
      <w:pPr>
        <w:rPr>
          <w:rFonts w:eastAsia="Calibri" w:cs="Times New Roman"/>
        </w:rPr>
      </w:pPr>
    </w:p>
    <w:tbl>
      <w:tblPr>
        <w:tblStyle w:val="TableGrid"/>
        <w:tblW w:w="0" w:type="auto"/>
        <w:tblInd w:w="720" w:type="dxa"/>
        <w:tblLook w:val="04A0" w:firstRow="1" w:lastRow="0" w:firstColumn="1" w:lastColumn="0" w:noHBand="0" w:noVBand="1"/>
      </w:tblPr>
      <w:tblGrid>
        <w:gridCol w:w="4339"/>
        <w:gridCol w:w="4291"/>
      </w:tblGrid>
      <w:tr w:rsidR="005B1185" w:rsidRPr="007D560D" w:rsidTr="007D560D">
        <w:tc>
          <w:tcPr>
            <w:tcW w:w="4339" w:type="dxa"/>
          </w:tcPr>
          <w:p w:rsidR="005B1185" w:rsidRPr="007D560D" w:rsidRDefault="005B1185" w:rsidP="00066711">
            <w:pPr>
              <w:rPr>
                <w:rFonts w:eastAsia="Calibri"/>
              </w:rPr>
            </w:pPr>
            <w:r w:rsidRPr="007D560D">
              <w:rPr>
                <w:rFonts w:eastAsia="Calibri"/>
              </w:rPr>
              <w:t>Percentage the unemployment trust fund balance is below the fund adequacy target</w:t>
            </w:r>
          </w:p>
        </w:tc>
        <w:tc>
          <w:tcPr>
            <w:tcW w:w="4291" w:type="dxa"/>
          </w:tcPr>
          <w:p w:rsidR="005B1185" w:rsidRPr="007D560D" w:rsidRDefault="005B1185" w:rsidP="00066711">
            <w:pPr>
              <w:rPr>
                <w:rFonts w:eastAsia="Calibri"/>
              </w:rPr>
            </w:pPr>
            <w:r w:rsidRPr="007D560D">
              <w:rPr>
                <w:rFonts w:eastAsia="Calibri"/>
              </w:rPr>
              <w:t>Rebuilding period</w:t>
            </w:r>
          </w:p>
        </w:tc>
      </w:tr>
      <w:tr w:rsidR="005B1185" w:rsidRPr="007D560D" w:rsidTr="007D560D">
        <w:tc>
          <w:tcPr>
            <w:tcW w:w="4339" w:type="dxa"/>
          </w:tcPr>
          <w:p w:rsidR="005B1185" w:rsidRPr="007D560D" w:rsidRDefault="005B1185" w:rsidP="007D560D">
            <w:pPr>
              <w:rPr>
                <w:rFonts w:eastAsia="Calibri"/>
              </w:rPr>
            </w:pPr>
            <w:r w:rsidRPr="007D560D">
              <w:rPr>
                <w:rFonts w:eastAsia="Calibri"/>
              </w:rPr>
              <w:t>More than 0.0000%, but less than  2.5000%</w:t>
            </w:r>
          </w:p>
        </w:tc>
        <w:tc>
          <w:tcPr>
            <w:tcW w:w="4291" w:type="dxa"/>
          </w:tcPr>
          <w:p w:rsidR="005B1185" w:rsidRPr="007D560D" w:rsidRDefault="005B1185" w:rsidP="00066711">
            <w:pPr>
              <w:rPr>
                <w:rFonts w:eastAsia="Calibri"/>
              </w:rPr>
            </w:pPr>
            <w:r w:rsidRPr="007D560D">
              <w:rPr>
                <w:rFonts w:eastAsia="Calibri"/>
              </w:rPr>
              <w:t xml:space="preserve">One year </w:t>
            </w:r>
          </w:p>
        </w:tc>
      </w:tr>
      <w:tr w:rsidR="005B1185" w:rsidRPr="007D560D" w:rsidTr="007D560D">
        <w:tc>
          <w:tcPr>
            <w:tcW w:w="4339" w:type="dxa"/>
          </w:tcPr>
          <w:p w:rsidR="005B1185" w:rsidRPr="007D560D" w:rsidRDefault="005B1185" w:rsidP="00066711">
            <w:pPr>
              <w:rPr>
                <w:rFonts w:eastAsia="Calibri"/>
              </w:rPr>
            </w:pPr>
            <w:r w:rsidRPr="007D560D">
              <w:rPr>
                <w:rFonts w:eastAsia="Calibri"/>
              </w:rPr>
              <w:t>2.5000% or more, but less than 5.0000%</w:t>
            </w:r>
          </w:p>
        </w:tc>
        <w:tc>
          <w:tcPr>
            <w:tcW w:w="4291" w:type="dxa"/>
          </w:tcPr>
          <w:p w:rsidR="005B1185" w:rsidRPr="007D560D" w:rsidRDefault="005B1185" w:rsidP="00066711">
            <w:pPr>
              <w:rPr>
                <w:rFonts w:eastAsia="Calibri"/>
              </w:rPr>
            </w:pPr>
            <w:r w:rsidRPr="007D560D">
              <w:rPr>
                <w:rFonts w:eastAsia="Calibri"/>
              </w:rPr>
              <w:t>Two years</w:t>
            </w:r>
          </w:p>
        </w:tc>
      </w:tr>
      <w:tr w:rsidR="005B1185" w:rsidRPr="007D560D" w:rsidTr="007D560D">
        <w:tc>
          <w:tcPr>
            <w:tcW w:w="4339" w:type="dxa"/>
          </w:tcPr>
          <w:p w:rsidR="005B1185" w:rsidRPr="007D560D" w:rsidRDefault="005B1185" w:rsidP="00066711">
            <w:pPr>
              <w:rPr>
                <w:rFonts w:eastAsia="Calibri"/>
              </w:rPr>
            </w:pPr>
            <w:r w:rsidRPr="007D560D">
              <w:rPr>
                <w:rFonts w:eastAsia="Calibri"/>
              </w:rPr>
              <w:t>5.0000% or more, but less than 7.5000%</w:t>
            </w:r>
          </w:p>
        </w:tc>
        <w:tc>
          <w:tcPr>
            <w:tcW w:w="4291" w:type="dxa"/>
          </w:tcPr>
          <w:p w:rsidR="005B1185" w:rsidRPr="007D560D" w:rsidRDefault="005B1185" w:rsidP="00066711">
            <w:pPr>
              <w:rPr>
                <w:rFonts w:eastAsia="Calibri"/>
              </w:rPr>
            </w:pPr>
            <w:r w:rsidRPr="007D560D">
              <w:rPr>
                <w:rFonts w:eastAsia="Calibri"/>
              </w:rPr>
              <w:t>Three years</w:t>
            </w:r>
          </w:p>
        </w:tc>
      </w:tr>
      <w:tr w:rsidR="005B1185" w:rsidRPr="007D560D" w:rsidTr="007D560D">
        <w:tc>
          <w:tcPr>
            <w:tcW w:w="4339" w:type="dxa"/>
          </w:tcPr>
          <w:p w:rsidR="005B1185" w:rsidRPr="007D560D" w:rsidRDefault="005B1185" w:rsidP="00066711">
            <w:pPr>
              <w:rPr>
                <w:rFonts w:eastAsia="Calibri"/>
              </w:rPr>
            </w:pPr>
            <w:r w:rsidRPr="007D560D">
              <w:rPr>
                <w:rFonts w:eastAsia="Calibri"/>
              </w:rPr>
              <w:t>7.5000% or more</w:t>
            </w:r>
          </w:p>
        </w:tc>
        <w:tc>
          <w:tcPr>
            <w:tcW w:w="4291" w:type="dxa"/>
          </w:tcPr>
          <w:p w:rsidR="005B1185" w:rsidRPr="007D560D" w:rsidRDefault="005B1185" w:rsidP="00066711">
            <w:pPr>
              <w:rPr>
                <w:rFonts w:eastAsia="Calibri"/>
              </w:rPr>
            </w:pPr>
            <w:r w:rsidRPr="007D560D">
              <w:rPr>
                <w:rFonts w:eastAsia="Calibri"/>
              </w:rPr>
              <w:t>Four years</w:t>
            </w:r>
          </w:p>
        </w:tc>
      </w:tr>
    </w:tbl>
    <w:p w:rsidR="005B1185" w:rsidRPr="007D560D" w:rsidRDefault="005B1185" w:rsidP="00066711">
      <w:pPr>
        <w:rPr>
          <w:rFonts w:eastAsia="Calibri" w:cs="Times New Roman"/>
        </w:rPr>
      </w:pPr>
    </w:p>
    <w:p w:rsidR="005B1185" w:rsidRPr="007D560D" w:rsidRDefault="005B1185" w:rsidP="008D67F4">
      <w:pPr>
        <w:tabs>
          <w:tab w:val="left" w:pos="216"/>
        </w:tabs>
        <w:rPr>
          <w:rFonts w:eastAsia="Calibri" w:cs="Times New Roman"/>
        </w:rPr>
      </w:pPr>
      <w:r w:rsidRPr="007D560D">
        <w:rPr>
          <w:rFonts w:eastAsia="Calibri" w:cs="Times New Roman"/>
        </w:rPr>
        <w:tab/>
        <w:t xml:space="preserve">(7) In a fiscal year in which the fund adequacy target is reached, the Department will determine tax rates for the following tax year without a solvency surcharge and pursuant to South Carolina Code Annotated Section 41-31-50. </w:t>
      </w:r>
    </w:p>
    <w:p w:rsidR="005B1185" w:rsidRPr="007D560D" w:rsidRDefault="005B1185" w:rsidP="008D67F4">
      <w:pPr>
        <w:tabs>
          <w:tab w:val="left" w:pos="216"/>
        </w:tabs>
        <w:rPr>
          <w:rFonts w:eastAsia="Calibri" w:cs="Times New Roman"/>
        </w:rPr>
      </w:pPr>
    </w:p>
    <w:p w:rsidR="005B1185" w:rsidRPr="007D560D" w:rsidRDefault="005B1185" w:rsidP="00541BC0">
      <w:pPr>
        <w:rPr>
          <w:rFonts w:cs="Times New Roman"/>
        </w:rPr>
      </w:pPr>
      <w:r w:rsidRPr="007D560D">
        <w:rPr>
          <w:rFonts w:cs="Times New Roman"/>
          <w:b/>
        </w:rPr>
        <w:t>Fiscal Impact Statement:</w:t>
      </w:r>
      <w:r w:rsidRPr="007D560D">
        <w:rPr>
          <w:rFonts w:cs="Times New Roman"/>
        </w:rPr>
        <w:t xml:space="preserve"> </w:t>
      </w:r>
    </w:p>
    <w:p w:rsidR="005B1185" w:rsidRPr="007D560D" w:rsidRDefault="005B1185" w:rsidP="00541BC0">
      <w:pPr>
        <w:rPr>
          <w:rFonts w:cs="Times New Roman"/>
        </w:rPr>
      </w:pPr>
    </w:p>
    <w:p w:rsidR="005B1185" w:rsidRPr="007D560D" w:rsidRDefault="005B1185" w:rsidP="00541BC0">
      <w:pPr>
        <w:rPr>
          <w:rFonts w:cs="Times New Roman"/>
        </w:rPr>
      </w:pPr>
      <w:r w:rsidRPr="007D560D">
        <w:rPr>
          <w:rFonts w:cs="Times New Roman"/>
        </w:rPr>
        <w:t>No additional state funding is requested. The South Carolina Department of Employment and Workforce estimates that no additional costs will be incurred by the state and its political subdivisions in amending Regulation 47-501.</w:t>
      </w:r>
    </w:p>
    <w:p w:rsidR="005B1185" w:rsidRPr="007D560D" w:rsidRDefault="005B1185" w:rsidP="00541BC0">
      <w:pPr>
        <w:rPr>
          <w:rFonts w:cs="Times New Roman"/>
          <w:b/>
        </w:rPr>
      </w:pPr>
    </w:p>
    <w:p w:rsidR="005B1185" w:rsidRPr="007D560D" w:rsidRDefault="005B1185" w:rsidP="00EB7010">
      <w:pPr>
        <w:rPr>
          <w:b/>
        </w:rPr>
      </w:pPr>
      <w:r w:rsidRPr="007D560D">
        <w:rPr>
          <w:b/>
        </w:rPr>
        <w:t>Statement of Rationale:</w:t>
      </w:r>
    </w:p>
    <w:p w:rsidR="005B1185" w:rsidRPr="007D560D" w:rsidRDefault="005B1185" w:rsidP="00EB7010">
      <w:pPr>
        <w:rPr>
          <w:b/>
        </w:rPr>
      </w:pPr>
    </w:p>
    <w:p w:rsidR="005B1185" w:rsidRPr="007D560D" w:rsidRDefault="005B1185" w:rsidP="00EB7010">
      <w:r w:rsidRPr="007D560D">
        <w:t xml:space="preserve">The purpose of amending Regulation 47-501 is to change the rebuilding period for subsequent rebuilds from five (5) years to four (4) years. </w:t>
      </w:r>
    </w:p>
    <w:sectPr w:rsidR="005B1185" w:rsidRPr="007D560D" w:rsidSect="008D67F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7F4" w:rsidRDefault="008D67F4" w:rsidP="008D67F4">
      <w:r>
        <w:separator/>
      </w:r>
    </w:p>
  </w:endnote>
  <w:endnote w:type="continuationSeparator" w:id="0">
    <w:p w:rsidR="008D67F4" w:rsidRDefault="008D67F4" w:rsidP="008D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448982"/>
      <w:docPartObj>
        <w:docPartGallery w:val="Page Numbers (Bottom of Page)"/>
        <w:docPartUnique/>
      </w:docPartObj>
    </w:sdtPr>
    <w:sdtEndPr>
      <w:rPr>
        <w:noProof/>
      </w:rPr>
    </w:sdtEndPr>
    <w:sdtContent>
      <w:p w:rsidR="008D67F4" w:rsidRDefault="008D67F4">
        <w:pPr>
          <w:pStyle w:val="Footer"/>
          <w:jc w:val="center"/>
        </w:pPr>
        <w:r>
          <w:fldChar w:fldCharType="begin"/>
        </w:r>
        <w:r>
          <w:instrText xml:space="preserve"> PAGE   \* MERGEFORMAT </w:instrText>
        </w:r>
        <w:r>
          <w:fldChar w:fldCharType="separate"/>
        </w:r>
        <w:r w:rsidR="007D560D">
          <w:rPr>
            <w:noProof/>
          </w:rPr>
          <w:t>2</w:t>
        </w:r>
        <w:r>
          <w:rPr>
            <w:noProof/>
          </w:rPr>
          <w:fldChar w:fldCharType="end"/>
        </w:r>
      </w:p>
    </w:sdtContent>
  </w:sdt>
  <w:p w:rsidR="008D67F4" w:rsidRDefault="008D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7F4" w:rsidRDefault="008D67F4" w:rsidP="008D67F4">
      <w:r>
        <w:separator/>
      </w:r>
    </w:p>
  </w:footnote>
  <w:footnote w:type="continuationSeparator" w:id="0">
    <w:p w:rsidR="008D67F4" w:rsidRDefault="008D67F4" w:rsidP="008D6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C74"/>
    <w:rsid w:val="001849AB"/>
    <w:rsid w:val="00337472"/>
    <w:rsid w:val="00381DF2"/>
    <w:rsid w:val="003E4FB5"/>
    <w:rsid w:val="00402788"/>
    <w:rsid w:val="004231A1"/>
    <w:rsid w:val="0058728F"/>
    <w:rsid w:val="005A3311"/>
    <w:rsid w:val="005B1185"/>
    <w:rsid w:val="0060475B"/>
    <w:rsid w:val="0068175D"/>
    <w:rsid w:val="006A296F"/>
    <w:rsid w:val="007D560D"/>
    <w:rsid w:val="007F742E"/>
    <w:rsid w:val="008D67F4"/>
    <w:rsid w:val="00A220E4"/>
    <w:rsid w:val="00A52663"/>
    <w:rsid w:val="00A84CDB"/>
    <w:rsid w:val="00C354CC"/>
    <w:rsid w:val="00EB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7A1B9-EB0C-44E0-A3DF-6037431C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7F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3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7F4"/>
    <w:pPr>
      <w:tabs>
        <w:tab w:val="center" w:pos="4680"/>
        <w:tab w:val="right" w:pos="9360"/>
      </w:tabs>
    </w:pPr>
  </w:style>
  <w:style w:type="character" w:customStyle="1" w:styleId="HeaderChar">
    <w:name w:val="Header Char"/>
    <w:basedOn w:val="DefaultParagraphFont"/>
    <w:link w:val="Header"/>
    <w:uiPriority w:val="99"/>
    <w:rsid w:val="008D67F4"/>
  </w:style>
  <w:style w:type="paragraph" w:styleId="Footer">
    <w:name w:val="footer"/>
    <w:basedOn w:val="Normal"/>
    <w:link w:val="FooterChar"/>
    <w:uiPriority w:val="99"/>
    <w:unhideWhenUsed/>
    <w:rsid w:val="008D67F4"/>
    <w:pPr>
      <w:tabs>
        <w:tab w:val="center" w:pos="4680"/>
        <w:tab w:val="right" w:pos="9360"/>
      </w:tabs>
    </w:pPr>
  </w:style>
  <w:style w:type="character" w:customStyle="1" w:styleId="FooterChar">
    <w:name w:val="Footer Char"/>
    <w:basedOn w:val="DefaultParagraphFont"/>
    <w:link w:val="Footer"/>
    <w:uiPriority w:val="99"/>
    <w:rsid w:val="008D67F4"/>
  </w:style>
  <w:style w:type="paragraph" w:styleId="BalloonText">
    <w:name w:val="Balloon Text"/>
    <w:basedOn w:val="Normal"/>
    <w:link w:val="BalloonTextChar"/>
    <w:uiPriority w:val="99"/>
    <w:semiHidden/>
    <w:unhideWhenUsed/>
    <w:rsid w:val="007D5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346A5498.dotm</Template>
  <TotalTime>0</TotalTime>
  <Pages>3</Pages>
  <Words>895</Words>
  <Characters>5104</Characters>
  <Application>Microsoft Office Word</Application>
  <DocSecurity>0</DocSecurity>
  <Lines>42</Lines>
  <Paragraphs>11</Paragraphs>
  <ScaleCrop>false</ScaleCrop>
  <Company>Legislative Services Agency (LSA)</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2016-06-09T15:34:00Z</cp:lastPrinted>
  <dcterms:created xsi:type="dcterms:W3CDTF">2016-06-09T15:39:00Z</dcterms:created>
  <dcterms:modified xsi:type="dcterms:W3CDTF">2016-06-09T15:39:00Z</dcterms:modified>
</cp:coreProperties>
</file>