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1C5" w:rsidRDefault="005661C5" w:rsidP="005661C5">
      <w:pPr>
        <w:widowControl w:val="0"/>
        <w:jc w:val="center"/>
      </w:pPr>
      <w:bookmarkStart w:id="0" w:name="_GoBack"/>
      <w:bookmarkEnd w:id="0"/>
      <w:r w:rsidRPr="005661C5">
        <w:rPr>
          <w:b/>
        </w:rPr>
        <w:t>South Carolina General Assembly</w:t>
      </w:r>
    </w:p>
    <w:p w:rsidR="005661C5" w:rsidRDefault="005661C5" w:rsidP="005661C5">
      <w:pPr>
        <w:widowControl w:val="0"/>
        <w:jc w:val="center"/>
      </w:pPr>
      <w:r>
        <w:t>118th Session, 2009-2010</w:t>
      </w:r>
    </w:p>
    <w:p w:rsidR="005661C5" w:rsidRDefault="005661C5" w:rsidP="005661C5">
      <w:pPr>
        <w:widowControl w:val="0"/>
      </w:pPr>
    </w:p>
    <w:p w:rsidR="005661C5" w:rsidRDefault="005661C5" w:rsidP="005661C5">
      <w:pPr>
        <w:widowControl w:val="0"/>
        <w:rPr>
          <w:b/>
        </w:rPr>
      </w:pPr>
      <w:r w:rsidRPr="005661C5">
        <w:rPr>
          <w:b/>
        </w:rPr>
        <w:t>S.</w:t>
      </w:r>
      <w:r>
        <w:rPr>
          <w:b/>
        </w:rPr>
        <w:t xml:space="preserve"> </w:t>
      </w:r>
      <w:r w:rsidRPr="005661C5">
        <w:rPr>
          <w:b/>
        </w:rPr>
        <w:t>1270</w:t>
      </w:r>
    </w:p>
    <w:p w:rsidR="005661C5" w:rsidRDefault="005661C5" w:rsidP="005661C5">
      <w:pPr>
        <w:widowControl w:val="0"/>
        <w:rPr>
          <w:b/>
        </w:rPr>
      </w:pPr>
    </w:p>
    <w:p w:rsidR="005661C5" w:rsidRDefault="005661C5" w:rsidP="005661C5">
      <w:pPr>
        <w:widowControl w:val="0"/>
      </w:pPr>
      <w:r w:rsidRPr="005661C5">
        <w:rPr>
          <w:b/>
        </w:rPr>
        <w:t>STATUS INFORMATION</w:t>
      </w:r>
    </w:p>
    <w:p w:rsidR="005661C5" w:rsidRDefault="005661C5" w:rsidP="005661C5">
      <w:pPr>
        <w:widowControl w:val="0"/>
      </w:pPr>
    </w:p>
    <w:p w:rsidR="005661C5" w:rsidRDefault="005661C5" w:rsidP="005661C5">
      <w:pPr>
        <w:widowControl w:val="0"/>
      </w:pPr>
      <w:r>
        <w:t>General Bill</w:t>
      </w:r>
    </w:p>
    <w:p w:rsidR="005661C5" w:rsidRDefault="005661C5" w:rsidP="005661C5">
      <w:pPr>
        <w:widowControl w:val="0"/>
      </w:pPr>
      <w:r>
        <w:t>Sponsors: Senator Rose</w:t>
      </w:r>
    </w:p>
    <w:p w:rsidR="005661C5" w:rsidRDefault="005661C5" w:rsidP="005661C5">
      <w:pPr>
        <w:widowControl w:val="0"/>
      </w:pPr>
      <w:r>
        <w:t>Document Path: l:\s-financ\drafting\mtr\004chan.dag.mtr.docx</w:t>
      </w:r>
    </w:p>
    <w:p w:rsidR="005661C5" w:rsidRDefault="005661C5" w:rsidP="005661C5">
      <w:pPr>
        <w:widowControl w:val="0"/>
      </w:pPr>
    </w:p>
    <w:p w:rsidR="00EB4AD1" w:rsidRDefault="00EB4AD1" w:rsidP="005661C5">
      <w:pPr>
        <w:widowControl w:val="0"/>
      </w:pPr>
      <w:r>
        <w:t>Introduced in the Senate on March 11, 2010</w:t>
      </w:r>
    </w:p>
    <w:p w:rsidR="00EB4AD1" w:rsidRDefault="00EB4AD1" w:rsidP="005661C5">
      <w:pPr>
        <w:widowControl w:val="0"/>
      </w:pPr>
      <w:r>
        <w:t>Introduced in the House on April 13, 2010</w:t>
      </w:r>
    </w:p>
    <w:p w:rsidR="00EB4AD1" w:rsidRPr="00EB4AD1" w:rsidRDefault="00EB4AD1" w:rsidP="005661C5">
      <w:pPr>
        <w:widowControl w:val="0"/>
      </w:pPr>
      <w:r>
        <w:t xml:space="preserve">Currently residing in the House Committee on </w:t>
      </w:r>
      <w:r w:rsidRPr="00EB4AD1">
        <w:rPr>
          <w:b/>
        </w:rPr>
        <w:t>Ways and Means</w:t>
      </w:r>
    </w:p>
    <w:p w:rsidR="00EB4AD1" w:rsidRDefault="00EB4AD1" w:rsidP="005661C5">
      <w:pPr>
        <w:widowControl w:val="0"/>
      </w:pPr>
    </w:p>
    <w:p w:rsidR="005661C5" w:rsidRDefault="005661C5" w:rsidP="005661C5">
      <w:pPr>
        <w:widowControl w:val="0"/>
      </w:pPr>
      <w:r>
        <w:t xml:space="preserve">Summary: </w:t>
      </w:r>
      <w:r w:rsidR="0081373F">
        <w:t>Assessment ratio</w:t>
      </w:r>
    </w:p>
    <w:p w:rsidR="005661C5" w:rsidRDefault="005661C5" w:rsidP="005661C5">
      <w:pPr>
        <w:widowControl w:val="0"/>
      </w:pPr>
    </w:p>
    <w:p w:rsidR="005661C5" w:rsidRDefault="005661C5" w:rsidP="005661C5">
      <w:pPr>
        <w:widowControl w:val="0"/>
      </w:pPr>
    </w:p>
    <w:p w:rsidR="005661C5" w:rsidRDefault="005661C5" w:rsidP="00566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61C5">
        <w:rPr>
          <w:b/>
        </w:rPr>
        <w:t>HISTORY OF LEGISLATIVE ACTIONS</w:t>
      </w:r>
    </w:p>
    <w:p w:rsidR="005661C5" w:rsidRDefault="005661C5" w:rsidP="00566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661C5" w:rsidRPr="005661C5" w:rsidRDefault="005661C5" w:rsidP="00566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61C5">
        <w:rPr>
          <w:u w:val="single"/>
        </w:rPr>
        <w:tab/>
        <w:t>Date</w:t>
      </w:r>
      <w:r w:rsidRPr="005661C5">
        <w:rPr>
          <w:u w:val="single"/>
        </w:rPr>
        <w:tab/>
        <w:t>Body</w:t>
      </w:r>
      <w:r w:rsidRPr="005661C5">
        <w:rPr>
          <w:u w:val="single"/>
        </w:rPr>
        <w:tab/>
        <w:t>Action Description with journal page number</w:t>
      </w:r>
      <w:r w:rsidRPr="005661C5">
        <w:rPr>
          <w:u w:val="single"/>
        </w:rPr>
        <w:tab/>
      </w:r>
    </w:p>
    <w:p w:rsidR="000A1D43" w:rsidRDefault="000A1D43" w:rsidP="000A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3/11/2010</w:t>
      </w:r>
      <w:r>
        <w:tab/>
        <w:t>Senate</w:t>
      </w:r>
      <w:r>
        <w:tab/>
      </w:r>
      <w:r w:rsidRPr="00872AE2">
        <w:t xml:space="preserve">Introduced and read first time </w:t>
      </w:r>
      <w:hyperlink r:id="rId7" w:history="1">
        <w:r w:rsidRPr="00F20109">
          <w:rPr>
            <w:rStyle w:val="Hyperlink"/>
          </w:rPr>
          <w:t>SJ</w:t>
        </w:r>
      </w:hyperlink>
      <w:r>
        <w:noBreakHyphen/>
      </w:r>
      <w:r w:rsidRPr="00872AE2">
        <w:t>3</w:t>
      </w:r>
    </w:p>
    <w:p w:rsidR="000A1D43" w:rsidRDefault="000A1D43" w:rsidP="000A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3/11/2010</w:t>
      </w:r>
      <w:r>
        <w:tab/>
        <w:t>Senate</w:t>
      </w:r>
      <w:r>
        <w:tab/>
      </w:r>
      <w:r w:rsidRPr="00872AE2">
        <w:t xml:space="preserve">Referred to Committee on </w:t>
      </w:r>
      <w:r w:rsidRPr="00872AE2">
        <w:rPr>
          <w:b/>
        </w:rPr>
        <w:t>Finance</w:t>
      </w:r>
      <w:r w:rsidRPr="00872AE2">
        <w:t xml:space="preserve"> </w:t>
      </w:r>
      <w:hyperlink r:id="rId8" w:history="1">
        <w:r w:rsidRPr="00F20109">
          <w:rPr>
            <w:rStyle w:val="Hyperlink"/>
          </w:rPr>
          <w:t>SJ</w:t>
        </w:r>
      </w:hyperlink>
      <w:r>
        <w:noBreakHyphen/>
      </w:r>
      <w:r w:rsidRPr="00872AE2">
        <w:t>3</w:t>
      </w:r>
    </w:p>
    <w:p w:rsidR="000A1D43" w:rsidRDefault="000A1D43" w:rsidP="000A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3/24/2010</w:t>
      </w:r>
      <w:r>
        <w:tab/>
        <w:t>Senate</w:t>
      </w:r>
      <w:r>
        <w:tab/>
      </w:r>
      <w:r w:rsidRPr="00872AE2">
        <w:t xml:space="preserve">Committee report: Favorable with amendment </w:t>
      </w:r>
      <w:r w:rsidRPr="00872AE2">
        <w:rPr>
          <w:b/>
        </w:rPr>
        <w:t>Finance</w:t>
      </w:r>
      <w:r w:rsidRPr="00872AE2">
        <w:t xml:space="preserve"> </w:t>
      </w:r>
      <w:hyperlink r:id="rId9" w:history="1">
        <w:r w:rsidRPr="00F20109">
          <w:rPr>
            <w:rStyle w:val="Hyperlink"/>
          </w:rPr>
          <w:t>SJ</w:t>
        </w:r>
      </w:hyperlink>
      <w:r>
        <w:noBreakHyphen/>
      </w:r>
      <w:r w:rsidRPr="00872AE2">
        <w:t>9</w:t>
      </w:r>
    </w:p>
    <w:p w:rsidR="000A1D43" w:rsidRDefault="000A1D43" w:rsidP="000A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3/25/2010</w:t>
      </w:r>
      <w:r>
        <w:tab/>
        <w:t>Senate</w:t>
      </w:r>
      <w:r>
        <w:tab/>
      </w:r>
      <w:r w:rsidRPr="00872AE2">
        <w:t xml:space="preserve">Committee Amendment Adopted </w:t>
      </w:r>
      <w:hyperlink r:id="rId10" w:history="1">
        <w:r w:rsidRPr="00F20109">
          <w:rPr>
            <w:rStyle w:val="Hyperlink"/>
          </w:rPr>
          <w:t>SJ</w:t>
        </w:r>
      </w:hyperlink>
      <w:r>
        <w:noBreakHyphen/>
      </w:r>
      <w:r w:rsidRPr="00872AE2">
        <w:t>43</w:t>
      </w:r>
    </w:p>
    <w:p w:rsidR="000A1D43" w:rsidRDefault="000A1D43" w:rsidP="000A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3/25/2010</w:t>
      </w:r>
      <w:r>
        <w:tab/>
        <w:t>Senate</w:t>
      </w:r>
      <w:r>
        <w:tab/>
      </w:r>
      <w:r w:rsidRPr="00872AE2">
        <w:t xml:space="preserve">Read second time </w:t>
      </w:r>
      <w:hyperlink r:id="rId11" w:history="1">
        <w:r w:rsidRPr="00F20109">
          <w:rPr>
            <w:rStyle w:val="Hyperlink"/>
          </w:rPr>
          <w:t>SJ</w:t>
        </w:r>
      </w:hyperlink>
      <w:r>
        <w:noBreakHyphen/>
      </w:r>
      <w:r w:rsidRPr="00872AE2">
        <w:t>43</w:t>
      </w:r>
    </w:p>
    <w:p w:rsidR="000A1D43" w:rsidRDefault="000A1D43" w:rsidP="000A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3/30/2010</w:t>
      </w:r>
      <w:r>
        <w:tab/>
        <w:t>Senate</w:t>
      </w:r>
      <w:r>
        <w:tab/>
      </w:r>
      <w:r w:rsidRPr="00872AE2">
        <w:t xml:space="preserve">Read third time and sent to House </w:t>
      </w:r>
      <w:hyperlink r:id="rId12" w:history="1">
        <w:r w:rsidRPr="00F20109">
          <w:rPr>
            <w:rStyle w:val="Hyperlink"/>
          </w:rPr>
          <w:t>SJ</w:t>
        </w:r>
      </w:hyperlink>
      <w:r>
        <w:noBreakHyphen/>
      </w:r>
      <w:r w:rsidRPr="00872AE2">
        <w:t>10</w:t>
      </w:r>
    </w:p>
    <w:p w:rsidR="000A1D43" w:rsidRDefault="000A1D43" w:rsidP="000A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4/13/2010</w:t>
      </w:r>
      <w:r>
        <w:tab/>
        <w:t>House</w:t>
      </w:r>
      <w:r>
        <w:tab/>
      </w:r>
      <w:r w:rsidRPr="00872AE2">
        <w:t xml:space="preserve">Introduced and read first time </w:t>
      </w:r>
      <w:hyperlink r:id="rId13" w:history="1">
        <w:r w:rsidRPr="00F20109">
          <w:rPr>
            <w:rStyle w:val="Hyperlink"/>
          </w:rPr>
          <w:t>HJ</w:t>
        </w:r>
      </w:hyperlink>
      <w:r>
        <w:noBreakHyphen/>
      </w:r>
      <w:r w:rsidRPr="00872AE2">
        <w:t>27</w:t>
      </w:r>
    </w:p>
    <w:p w:rsidR="000A1D43" w:rsidRDefault="000A1D43" w:rsidP="000A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4/13/2010</w:t>
      </w:r>
      <w:r>
        <w:tab/>
        <w:t>House</w:t>
      </w:r>
      <w:r>
        <w:tab/>
      </w:r>
      <w:r w:rsidRPr="00872AE2">
        <w:t xml:space="preserve">Referred to Committee on </w:t>
      </w:r>
      <w:r w:rsidRPr="00872AE2">
        <w:rPr>
          <w:b/>
        </w:rPr>
        <w:t>Ways and Means</w:t>
      </w:r>
      <w:r w:rsidRPr="00872AE2">
        <w:t xml:space="preserve"> </w:t>
      </w:r>
      <w:hyperlink r:id="rId14" w:history="1">
        <w:r w:rsidRPr="00F20109">
          <w:rPr>
            <w:rStyle w:val="Hyperlink"/>
          </w:rPr>
          <w:t>HJ</w:t>
        </w:r>
      </w:hyperlink>
      <w:r>
        <w:noBreakHyphen/>
      </w:r>
      <w:r w:rsidRPr="00872AE2">
        <w:t>27</w:t>
      </w:r>
    </w:p>
    <w:p w:rsidR="000A1D43" w:rsidRDefault="000A1D43" w:rsidP="000A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61C5" w:rsidRPr="005661C5" w:rsidRDefault="005661C5" w:rsidP="00566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61C5" w:rsidRDefault="005661C5" w:rsidP="005661C5">
      <w:pPr>
        <w:widowControl w:val="0"/>
      </w:pPr>
      <w:r w:rsidRPr="005661C5">
        <w:rPr>
          <w:b/>
        </w:rPr>
        <w:t>VERSIONS OF THIS BILL</w:t>
      </w:r>
    </w:p>
    <w:p w:rsidR="005661C5" w:rsidRDefault="005661C5" w:rsidP="005661C5">
      <w:pPr>
        <w:widowControl w:val="0"/>
      </w:pPr>
    </w:p>
    <w:p w:rsidR="005661C5" w:rsidRDefault="007B7AF2" w:rsidP="005661C5">
      <w:pPr>
        <w:widowControl w:val="0"/>
      </w:pPr>
      <w:hyperlink r:id="rId15" w:history="1">
        <w:r w:rsidR="005661C5">
          <w:rPr>
            <w:rStyle w:val="Hyperlink"/>
          </w:rPr>
          <w:t>3/11/2010</w:t>
        </w:r>
      </w:hyperlink>
    </w:p>
    <w:p w:rsidR="00A52625" w:rsidRDefault="007B7AF2" w:rsidP="005661C5">
      <w:hyperlink r:id="rId16" w:history="1">
        <w:r w:rsidR="00A52625" w:rsidRPr="00A52625">
          <w:rPr>
            <w:rStyle w:val="Hyperlink"/>
          </w:rPr>
          <w:t>3/24/2010</w:t>
        </w:r>
      </w:hyperlink>
    </w:p>
    <w:p w:rsidR="00311C8C" w:rsidRDefault="007B7AF2" w:rsidP="005661C5">
      <w:hyperlink r:id="rId17" w:history="1">
        <w:r w:rsidR="00311C8C" w:rsidRPr="00311C8C">
          <w:rPr>
            <w:rStyle w:val="Hyperlink"/>
          </w:rPr>
          <w:t>3/25/2010</w:t>
        </w:r>
      </w:hyperlink>
    </w:p>
    <w:p w:rsidR="005661C5" w:rsidRDefault="005661C5" w:rsidP="005661C5"/>
    <w:p w:rsidR="005661C5" w:rsidRDefault="005661C5" w:rsidP="005661C5">
      <w:pPr>
        <w:sectPr w:rsidR="005661C5" w:rsidSect="005661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1C8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311C8C" w:rsidRPr="0098510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11C8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311C8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25, 2010</w:t>
      </w:r>
    </w:p>
    <w:p w:rsidR="00311C8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Pr="0098510C" w:rsidRDefault="00311C8C" w:rsidP="0098510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1270</w:t>
      </w:r>
    </w:p>
    <w:p w:rsidR="00311C8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Default="00311C8C" w:rsidP="00985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E5760">
        <w:t>Senator Rose</w:t>
      </w:r>
    </w:p>
    <w:p w:rsidR="00311C8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3/25/10--S.</w:t>
      </w:r>
    </w:p>
    <w:p w:rsidR="00311C8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2010.</w:t>
      </w:r>
    </w:p>
    <w:p w:rsidR="00311C8C" w:rsidRDefault="00311C8C" w:rsidP="00231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11C8C" w:rsidRPr="0098510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11C8C" w:rsidRPr="0098510C" w:rsidSect="0098510C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11C8C" w:rsidRPr="00522CE0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Pr="00522CE0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Pr="00522CE0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Pr="00522CE0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Pr="00522CE0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Pr="00522CE0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Pr="00522CE0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Pr="00522CE0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Pr="008F023B" w:rsidRDefault="00311C8C" w:rsidP="00153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311C8C" w:rsidRPr="00522CE0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Pr="00522CE0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SECTIONS 12-60-1750 AND 12-43-220 OF THE 1976 CODE, RELATING TO REFUNDS OF PROPERTY TAXES, TO PROVIDE THAT NO REFUND MUST BE GIVEN FOR A CHANGE IN ASSESSMENT RATIOS TO THE SPECIAL FOUR PERCENT ASSESSMENT RATIO UNLESS THE APPLICATION WAS TIMELY FILED; AND TO FURTHER AMEND SECTION 12-43-220, RELATING TO THE SPECIAL FOUR PERCENT ASSESSMENT RATIO, TO PROVIDE THAT THE PROPERTY MAY ONLY BE CLAIMED AT THE FOUR PERCENT ASSESSMENT RATIO FOR THE PRO-RATA PORTION OF THE YEAR IN WHICH THE PROPERTY WAS THE LEGAL RESIDENCE.</w:t>
      </w:r>
    </w:p>
    <w:p w:rsidR="00311C8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311C8C" w:rsidRDefault="00311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>SECTION</w:t>
      </w:r>
      <w:r w:rsidRPr="00A631EF">
        <w:rPr>
          <w:color w:val="000000" w:themeColor="text1"/>
          <w:u w:color="000000" w:themeColor="text1"/>
        </w:rPr>
        <w:tab/>
        <w:t>1.</w:t>
      </w:r>
      <w:r w:rsidRPr="00A631EF">
        <w:rPr>
          <w:color w:val="000000" w:themeColor="text1"/>
          <w:u w:color="000000" w:themeColor="text1"/>
        </w:rPr>
        <w:tab/>
        <w:t>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1750 of the 1976 Code is amended to read:</w:t>
      </w: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“Section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1750.</w:t>
      </w:r>
      <w:r w:rsidRPr="00A631EF">
        <w:rPr>
          <w:color w:val="000000" w:themeColor="text1"/>
          <w:u w:color="000000" w:themeColor="text1"/>
        </w:rPr>
        <w:tab/>
        <w:t xml:space="preserve">Notwithstanding any other provision of law, no refund of property taxes must be given: </w:t>
      </w: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(1)</w:t>
      </w:r>
      <w:r w:rsidRPr="00A631EF">
        <w:rPr>
          <w:color w:val="000000" w:themeColor="text1"/>
          <w:u w:color="000000" w:themeColor="text1"/>
        </w:rPr>
        <w:tab/>
        <w:t xml:space="preserve">for a property tax exemption requiring an application, unless the application was timely filed; </w:t>
      </w:r>
      <w:r w:rsidRPr="00A631EF">
        <w:rPr>
          <w:strike/>
          <w:color w:val="000000" w:themeColor="text1"/>
          <w:u w:color="000000" w:themeColor="text1"/>
        </w:rPr>
        <w:t>or</w:t>
      </w:r>
      <w:r w:rsidRPr="00A631EF">
        <w:rPr>
          <w:color w:val="000000" w:themeColor="text1"/>
          <w:u w:color="000000" w:themeColor="text1"/>
        </w:rPr>
        <w:t xml:space="preserve"> </w:t>
      </w: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(2)</w:t>
      </w:r>
      <w:r w:rsidRPr="00A631EF">
        <w:rPr>
          <w:color w:val="000000" w:themeColor="text1"/>
          <w:u w:color="000000" w:themeColor="text1"/>
        </w:rPr>
        <w:tab/>
        <w:t>for errors in valuation, unless the assessment was appealed in accordance with 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2110, 12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2510, or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2910, as appropriate.  For the purposes of this item, the taxation of exempt property is not an error in valuation</w:t>
      </w:r>
      <w:r w:rsidRPr="00A631EF">
        <w:rPr>
          <w:color w:val="000000" w:themeColor="text1"/>
          <w:u w:val="single" w:color="000000" w:themeColor="text1"/>
        </w:rPr>
        <w:t>; or</w:t>
      </w: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</w:r>
      <w:r w:rsidRPr="00A631EF">
        <w:rPr>
          <w:color w:val="000000" w:themeColor="text1"/>
          <w:u w:val="single" w:color="000000" w:themeColor="text1"/>
        </w:rPr>
        <w:t>(3)</w:t>
      </w:r>
      <w:r w:rsidRPr="00A631EF">
        <w:rPr>
          <w:color w:val="000000" w:themeColor="text1"/>
          <w:u w:color="000000" w:themeColor="text1"/>
        </w:rPr>
        <w:tab/>
      </w:r>
      <w:r w:rsidRPr="00A631EF">
        <w:rPr>
          <w:color w:val="000000" w:themeColor="text1"/>
          <w:u w:val="single" w:color="000000" w:themeColor="text1"/>
        </w:rPr>
        <w:t>for a change in assessment ratios to the special four percent assessment ratio pursuant to Section 12</w:t>
      </w:r>
      <w:r w:rsidRPr="00A631EF">
        <w:rPr>
          <w:color w:val="000000" w:themeColor="text1"/>
          <w:u w:val="single" w:color="000000" w:themeColor="text1"/>
        </w:rPr>
        <w:noBreakHyphen/>
        <w:t>43</w:t>
      </w:r>
      <w:r w:rsidRPr="00A631EF">
        <w:rPr>
          <w:color w:val="000000" w:themeColor="text1"/>
          <w:u w:val="single" w:color="000000" w:themeColor="text1"/>
        </w:rPr>
        <w:noBreakHyphen/>
        <w:t>220(c) unless the application was made before the first penalty date for the payment of taxes for the tax year for which the owner claims the refund</w:t>
      </w:r>
      <w:r w:rsidRPr="00A631EF">
        <w:rPr>
          <w:color w:val="000000" w:themeColor="text1"/>
          <w:u w:color="000000" w:themeColor="text1"/>
        </w:rPr>
        <w:t>.”</w:t>
      </w: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>SECTION</w:t>
      </w:r>
      <w:r w:rsidRPr="00A631EF">
        <w:rPr>
          <w:color w:val="000000" w:themeColor="text1"/>
          <w:u w:color="000000" w:themeColor="text1"/>
        </w:rPr>
        <w:tab/>
        <w:t>2.</w:t>
      </w:r>
      <w:r w:rsidRPr="00A631EF">
        <w:rPr>
          <w:color w:val="000000" w:themeColor="text1"/>
          <w:u w:color="000000" w:themeColor="text1"/>
        </w:rPr>
        <w:tab/>
        <w:t>Section 12</w:t>
      </w:r>
      <w:r w:rsidRPr="00A631EF">
        <w:rPr>
          <w:color w:val="000000" w:themeColor="text1"/>
          <w:u w:color="000000" w:themeColor="text1"/>
        </w:rPr>
        <w:noBreakHyphen/>
        <w:t>43</w:t>
      </w:r>
      <w:r w:rsidRPr="00A631EF">
        <w:rPr>
          <w:color w:val="000000" w:themeColor="text1"/>
          <w:u w:color="000000" w:themeColor="text1"/>
        </w:rPr>
        <w:noBreakHyphen/>
        <w:t>220(c)(3) of the 1976 Code is amended to read:</w:t>
      </w: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“(3)</w:t>
      </w:r>
      <w:r w:rsidRPr="00A631EF">
        <w:rPr>
          <w:color w:val="000000" w:themeColor="text1"/>
          <w:u w:color="000000" w:themeColor="text1"/>
        </w:rPr>
        <w:tab/>
        <w:t xml:space="preserve">Notwithstanding any other provision of law, a taxpayer may apply for a refund of property taxes overpaid because the property was eligible for the legal residence assessment ratio </w:t>
      </w:r>
      <w:r w:rsidRPr="00A631EF">
        <w:rPr>
          <w:color w:val="000000" w:themeColor="text1"/>
          <w:u w:val="single" w:color="000000" w:themeColor="text1"/>
        </w:rPr>
        <w:t>and the application was made before the first penalty date for the payment of taxes for the tax year for which the taxpayer claims the refund</w:t>
      </w:r>
      <w:r w:rsidRPr="00A631EF">
        <w:rPr>
          <w:color w:val="000000" w:themeColor="text1"/>
          <w:u w:color="000000" w:themeColor="text1"/>
        </w:rPr>
        <w:t>.  The application must be made in accordance with 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2560.  The taxpayer must establish that the property in question was in fact his legal residence and where he was domiciled.  A county council, by ordinance, may allow refunds for the county government portion of property taxes for such additional past years as it determines advisable.”</w:t>
      </w: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1C8C" w:rsidRPr="00A631EF" w:rsidRDefault="00311C8C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Pr="00A631EF">
        <w:rPr>
          <w:color w:val="000000" w:themeColor="text1"/>
          <w:u w:color="000000" w:themeColor="text1"/>
        </w:rPr>
        <w:t>.</w:t>
      </w:r>
      <w:r w:rsidRPr="00A631EF">
        <w:rPr>
          <w:color w:val="000000" w:themeColor="text1"/>
          <w:u w:color="000000" w:themeColor="text1"/>
        </w:rPr>
        <w:tab/>
        <w:t>This act takes effect upon approval by the Governor and applies for all property tax years beginning after December 31, 2009.</w:t>
      </w:r>
    </w:p>
    <w:p w:rsidR="00311C8C" w:rsidRDefault="00311C8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536F6" w:rsidRDefault="001536F6" w:rsidP="0031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1536F6" w:rsidSect="0098510C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005" w:rsidRDefault="00930005" w:rsidP="00522CE0">
      <w:r>
        <w:separator/>
      </w:r>
    </w:p>
  </w:endnote>
  <w:endnote w:type="continuationSeparator" w:id="0">
    <w:p w:rsidR="00930005" w:rsidRDefault="009300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69428D-48E9-4823-AB1A-FB98E7FEAE57}"/>
    <w:embedBold r:id="rId2" w:fontKey="{514D8327-FC75-4185-BCA9-32FF5AE261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FCA3E9-DE0E-4572-BD60-CDB11B79902D}"/>
    <w:embedBold r:id="rId4" w:fontKey="{0BBE6294-8ED0-4CBC-970F-00504ABD7E7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5" w:fontKey="{3277B49C-7999-4B1B-8420-5BFCEB026AAC}"/>
    <w:embedBold r:id="rId6" w:fontKey="{C82E8E99-D99C-469D-B11C-0C20BB376A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7" w:fontKey="{FA7C6DFF-E36A-4FC7-92AB-AA14FF3791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3D807D1-C827-4FF3-8592-905A35F88C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C8C" w:rsidRPr="001536F6" w:rsidRDefault="00311C8C" w:rsidP="001536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[1270-</w:t>
    </w:r>
    <w:r w:rsidR="007B7AF2">
      <w:fldChar w:fldCharType="begin"/>
    </w:r>
    <w:r w:rsidR="007B7AF2">
      <w:instrText xml:space="preserve"> PAGE  \* MERGEFORMAT </w:instrText>
    </w:r>
    <w:r w:rsidR="007B7AF2">
      <w:fldChar w:fldCharType="separate"/>
    </w:r>
    <w:r w:rsidR="007B7AF2">
      <w:rPr>
        <w:noProof/>
      </w:rPr>
      <w:t>1</w:t>
    </w:r>
    <w:r w:rsidR="007B7AF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10C" w:rsidRPr="001536F6" w:rsidRDefault="00311C8C" w:rsidP="001536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[1270]</w:t>
    </w:r>
    <w:r>
      <w:tab/>
    </w:r>
    <w:r w:rsidR="00FE5089">
      <w:fldChar w:fldCharType="begin"/>
    </w:r>
    <w:r>
      <w:instrText xml:space="preserve"> PAGE  \* MERGEFORMAT </w:instrText>
    </w:r>
    <w:r w:rsidR="00FE5089">
      <w:fldChar w:fldCharType="separate"/>
    </w:r>
    <w:r>
      <w:rPr>
        <w:noProof/>
      </w:rPr>
      <w:t>2</w:t>
    </w:r>
    <w:r w:rsidR="00FE508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005" w:rsidRDefault="00930005" w:rsidP="00522CE0">
      <w:r>
        <w:separator/>
      </w:r>
    </w:p>
  </w:footnote>
  <w:footnote w:type="continuationSeparator" w:id="0">
    <w:p w:rsidR="00930005" w:rsidRDefault="009300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CHAN.DAG.MTR"/>
    <w:docVar w:name="CoverAttorneyInitials" w:val="DAG"/>
    <w:docVar w:name="CoverAttorneyLastName" w:val="Good"/>
    <w:docVar w:name="CoverBillType" w:val="b"/>
    <w:docVar w:name="CoverSenator" w:val="MTR"/>
    <w:docVar w:name="dvBillNumber" w:val="1270"/>
    <w:docVar w:name="dvBillNumberPrefix" w:val="S. "/>
    <w:docVar w:name="dvOriginalBody" w:val="Senate"/>
    <w:docVar w:name="fulldraftpath" w:val="L:\S-FINANC\DRAFTING\MTR\004CHAN.DAG.MTR.DOCX"/>
    <w:docVar w:name="NameofBody" w:val="S"/>
    <w:docVar w:name="vgroup2" w:val="S-FINANC"/>
  </w:docVars>
  <w:rsids>
    <w:rsidRoot w:val="00C10948"/>
    <w:rsid w:val="00042AC1"/>
    <w:rsid w:val="00046516"/>
    <w:rsid w:val="000630E8"/>
    <w:rsid w:val="0007601D"/>
    <w:rsid w:val="000A1D43"/>
    <w:rsid w:val="000B0720"/>
    <w:rsid w:val="000B5EAF"/>
    <w:rsid w:val="001536F6"/>
    <w:rsid w:val="00167FD4"/>
    <w:rsid w:val="00170561"/>
    <w:rsid w:val="00186AC9"/>
    <w:rsid w:val="00191982"/>
    <w:rsid w:val="00197DF1"/>
    <w:rsid w:val="001B3DD9"/>
    <w:rsid w:val="001D3BAC"/>
    <w:rsid w:val="001E39B9"/>
    <w:rsid w:val="0020552D"/>
    <w:rsid w:val="002162CA"/>
    <w:rsid w:val="002362C0"/>
    <w:rsid w:val="00245C4E"/>
    <w:rsid w:val="0026270C"/>
    <w:rsid w:val="002C5896"/>
    <w:rsid w:val="002D3BED"/>
    <w:rsid w:val="00307C2B"/>
    <w:rsid w:val="00311C8C"/>
    <w:rsid w:val="003266C0"/>
    <w:rsid w:val="003C30E0"/>
    <w:rsid w:val="003D6E2B"/>
    <w:rsid w:val="003E7597"/>
    <w:rsid w:val="00401DD1"/>
    <w:rsid w:val="00446984"/>
    <w:rsid w:val="00450668"/>
    <w:rsid w:val="00453BF7"/>
    <w:rsid w:val="004952FA"/>
    <w:rsid w:val="004B0759"/>
    <w:rsid w:val="004B6A22"/>
    <w:rsid w:val="004D7F37"/>
    <w:rsid w:val="00522CE0"/>
    <w:rsid w:val="00565148"/>
    <w:rsid w:val="005661C5"/>
    <w:rsid w:val="00593361"/>
    <w:rsid w:val="005A5017"/>
    <w:rsid w:val="005A648C"/>
    <w:rsid w:val="005A7090"/>
    <w:rsid w:val="005C0270"/>
    <w:rsid w:val="005E167E"/>
    <w:rsid w:val="005E4268"/>
    <w:rsid w:val="005F1745"/>
    <w:rsid w:val="00610FAB"/>
    <w:rsid w:val="00633A73"/>
    <w:rsid w:val="00635F61"/>
    <w:rsid w:val="006C74EA"/>
    <w:rsid w:val="00712D5E"/>
    <w:rsid w:val="00720D40"/>
    <w:rsid w:val="007318D4"/>
    <w:rsid w:val="00765784"/>
    <w:rsid w:val="00787094"/>
    <w:rsid w:val="007931F7"/>
    <w:rsid w:val="00797511"/>
    <w:rsid w:val="007A4390"/>
    <w:rsid w:val="007B6510"/>
    <w:rsid w:val="007B7AF2"/>
    <w:rsid w:val="007E5CB7"/>
    <w:rsid w:val="007F5D00"/>
    <w:rsid w:val="0081373F"/>
    <w:rsid w:val="008314D2"/>
    <w:rsid w:val="00866132"/>
    <w:rsid w:val="00876F57"/>
    <w:rsid w:val="008900D4"/>
    <w:rsid w:val="008B2F42"/>
    <w:rsid w:val="008E185F"/>
    <w:rsid w:val="008F023B"/>
    <w:rsid w:val="00904E16"/>
    <w:rsid w:val="009162B3"/>
    <w:rsid w:val="00927C62"/>
    <w:rsid w:val="00930005"/>
    <w:rsid w:val="00954B73"/>
    <w:rsid w:val="00983951"/>
    <w:rsid w:val="00984124"/>
    <w:rsid w:val="00984640"/>
    <w:rsid w:val="00995C37"/>
    <w:rsid w:val="009A5ACF"/>
    <w:rsid w:val="009B301E"/>
    <w:rsid w:val="009B31E7"/>
    <w:rsid w:val="009C118A"/>
    <w:rsid w:val="00A02011"/>
    <w:rsid w:val="00A4011E"/>
    <w:rsid w:val="00A52625"/>
    <w:rsid w:val="00A57ADE"/>
    <w:rsid w:val="00A86015"/>
    <w:rsid w:val="00AE59C8"/>
    <w:rsid w:val="00AE78F2"/>
    <w:rsid w:val="00B10098"/>
    <w:rsid w:val="00B400A4"/>
    <w:rsid w:val="00B47B87"/>
    <w:rsid w:val="00B5790D"/>
    <w:rsid w:val="00B67B3F"/>
    <w:rsid w:val="00B86701"/>
    <w:rsid w:val="00B945C5"/>
    <w:rsid w:val="00BA1CBB"/>
    <w:rsid w:val="00BA20EA"/>
    <w:rsid w:val="00BB177B"/>
    <w:rsid w:val="00BB5AFC"/>
    <w:rsid w:val="00BC0A56"/>
    <w:rsid w:val="00BC552C"/>
    <w:rsid w:val="00BD04F4"/>
    <w:rsid w:val="00C10948"/>
    <w:rsid w:val="00C34CCF"/>
    <w:rsid w:val="00C45366"/>
    <w:rsid w:val="00C74052"/>
    <w:rsid w:val="00C762AA"/>
    <w:rsid w:val="00CA68C8"/>
    <w:rsid w:val="00CB187A"/>
    <w:rsid w:val="00CC0EC7"/>
    <w:rsid w:val="00CD22B5"/>
    <w:rsid w:val="00CE521F"/>
    <w:rsid w:val="00CF30EA"/>
    <w:rsid w:val="00D1088B"/>
    <w:rsid w:val="00D11F8F"/>
    <w:rsid w:val="00D156D2"/>
    <w:rsid w:val="00D400D6"/>
    <w:rsid w:val="00D709DD"/>
    <w:rsid w:val="00D735B8"/>
    <w:rsid w:val="00D86943"/>
    <w:rsid w:val="00DA47B9"/>
    <w:rsid w:val="00E12600"/>
    <w:rsid w:val="00E91E2F"/>
    <w:rsid w:val="00E944CE"/>
    <w:rsid w:val="00EA3546"/>
    <w:rsid w:val="00EB47AE"/>
    <w:rsid w:val="00EB4AD1"/>
    <w:rsid w:val="00EC34E1"/>
    <w:rsid w:val="00ED4032"/>
    <w:rsid w:val="00F0234A"/>
    <w:rsid w:val="00F20109"/>
    <w:rsid w:val="00F3291D"/>
    <w:rsid w:val="00F52959"/>
    <w:rsid w:val="00F55884"/>
    <w:rsid w:val="00F957D5"/>
    <w:rsid w:val="00F97DFC"/>
    <w:rsid w:val="00FC0D36"/>
    <w:rsid w:val="00FE508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oNotEmbedSmartTags/>
  <w:decimalSymbol w:val="."/>
  <w:listSeparator w:val=","/>
  <w15:docId w15:val="{4C20B0EE-5F93-4AC0-AC47-698AD894A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next w:val="Normal"/>
    <w:link w:val="Heading2Char"/>
    <w:qFormat/>
    <w:rsid w:val="00A52625"/>
    <w:pPr>
      <w:keepNext/>
      <w:widowControl w:val="0"/>
      <w:outlineLvl w:val="1"/>
    </w:pPr>
    <w:rPr>
      <w:rFonts w:ascii="Arial" w:eastAsia="Times New Roman" w:hAnsi="Arial"/>
      <w:b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6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6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61C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A52625"/>
    <w:rPr>
      <w:rFonts w:ascii="Arial" w:eastAsia="Times New Roman" w:hAnsi="Arial"/>
      <w:b/>
      <w:snapToGrid w:val="0"/>
      <w:sz w:val="24"/>
      <w:szCs w:val="20"/>
    </w:rPr>
  </w:style>
  <w:style w:type="paragraph" w:styleId="BodyText">
    <w:name w:val="Body Text"/>
    <w:basedOn w:val="Normal"/>
    <w:link w:val="BodyTextChar"/>
    <w:rsid w:val="00A52625"/>
    <w:pPr>
      <w:widowControl w:val="0"/>
      <w:jc w:val="both"/>
    </w:pPr>
    <w:rPr>
      <w:rFonts w:ascii="Arial" w:eastAsia="Times New Roman" w:hAnsi="Arial"/>
      <w:snapToGrid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52625"/>
    <w:rPr>
      <w:rFonts w:ascii="Arial" w:eastAsia="Times New Roman" w:hAnsi="Arial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11-10.docx" TargetMode="External"/><Relationship Id="rId13" Type="http://schemas.openxmlformats.org/officeDocument/2006/relationships/hyperlink" Target="file:///h:\HJ%20Archive\2010\04-13-10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SJ%20Archive\2010\03-11-10.docx" TargetMode="External"/><Relationship Id="rId12" Type="http://schemas.openxmlformats.org/officeDocument/2006/relationships/hyperlink" Target="file:///h:\SJ%20Archive\2010\03-30-10.docx" TargetMode="External"/><Relationship Id="rId17" Type="http://schemas.openxmlformats.org/officeDocument/2006/relationships/hyperlink" Target="file:///p:\pprever\2009-10\1270_20100325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09-10\1270_20100324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0\03-25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1270_20100311.docx" TargetMode="External"/><Relationship Id="rId10" Type="http://schemas.openxmlformats.org/officeDocument/2006/relationships/hyperlink" Target="file:///h:\SJ%20Archive\2010\03-25-10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0\03-24-10.docx" TargetMode="External"/><Relationship Id="rId14" Type="http://schemas.openxmlformats.org/officeDocument/2006/relationships/hyperlink" Target="file:///h:\HJ%20Archive\2010\04-13-10.doc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64E6A-3365-4F63-B674-CE3E90B5C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540</Words>
  <Characters>2880</Characters>
  <Application>Microsoft Office Word</Application>
  <DocSecurity>0</DocSecurity>
  <Lines>113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1270: Assessment ratio - South Carolina Legislature Online</dc:title>
  <dc:subject/>
  <dc:creator>DavidGood</dc:creator>
  <cp:keywords/>
  <dc:description/>
  <cp:lastModifiedBy>N Cumfer</cp:lastModifiedBy>
  <cp:revision>12</cp:revision>
  <cp:lastPrinted>2010-03-10T22:58:00Z</cp:lastPrinted>
  <dcterms:created xsi:type="dcterms:W3CDTF">2010-03-25T18:19:00Z</dcterms:created>
  <dcterms:modified xsi:type="dcterms:W3CDTF">2014-11-24T15:14:00Z</dcterms:modified>
</cp:coreProperties>
</file>