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7E54" w:rsidRDefault="00AF07D5">
      <w:pPr>
        <w:widowControl w:val="0"/>
        <w:jc w:val="center"/>
        <w:rPr>
          <w:rFonts w:cs="Times New Roman"/>
        </w:rPr>
      </w:pPr>
      <w:bookmarkStart w:id="0" w:name="_GoBack"/>
      <w:bookmarkEnd w:id="0"/>
      <w:r>
        <w:rPr>
          <w:rFonts w:cs="Times New Roman"/>
          <w:b/>
        </w:rPr>
        <w:t>South Carolina General Assembly</w:t>
      </w:r>
    </w:p>
    <w:p w:rsidR="00D17E54" w:rsidRDefault="00AF07D5">
      <w:pPr>
        <w:widowControl w:val="0"/>
        <w:jc w:val="center"/>
        <w:rPr>
          <w:rFonts w:cs="Times New Roman"/>
        </w:rPr>
      </w:pPr>
      <w:r>
        <w:rPr>
          <w:rFonts w:cs="Times New Roman"/>
        </w:rPr>
        <w:t>118th Session, 2009-2010</w:t>
      </w:r>
    </w:p>
    <w:p w:rsidR="00D17E54" w:rsidRDefault="00D17E54">
      <w:pPr>
        <w:widowControl w:val="0"/>
        <w:jc w:val="left"/>
        <w:rPr>
          <w:rFonts w:cs="Times New Roman"/>
        </w:rPr>
      </w:pPr>
    </w:p>
    <w:p w:rsidR="00D17E54" w:rsidRDefault="00AF07D5">
      <w:pPr>
        <w:widowControl w:val="0"/>
        <w:jc w:val="left"/>
        <w:rPr>
          <w:rFonts w:cs="Times New Roman"/>
          <w:b/>
        </w:rPr>
      </w:pPr>
      <w:r>
        <w:rPr>
          <w:rFonts w:cs="Times New Roman"/>
          <w:b/>
        </w:rPr>
        <w:t>S. 171</w:t>
      </w:r>
    </w:p>
    <w:p w:rsidR="00D17E54" w:rsidRDefault="00D17E54">
      <w:pPr>
        <w:widowControl w:val="0"/>
        <w:jc w:val="left"/>
        <w:rPr>
          <w:rFonts w:cs="Times New Roman"/>
          <w:b/>
        </w:rPr>
      </w:pPr>
    </w:p>
    <w:p w:rsidR="00D17E54" w:rsidRDefault="00AF07D5">
      <w:pPr>
        <w:widowControl w:val="0"/>
        <w:jc w:val="left"/>
        <w:rPr>
          <w:rFonts w:cs="Times New Roman"/>
        </w:rPr>
      </w:pPr>
      <w:r>
        <w:rPr>
          <w:rFonts w:cs="Times New Roman"/>
          <w:b/>
        </w:rPr>
        <w:t>STATUS INFORMATION</w:t>
      </w:r>
    </w:p>
    <w:p w:rsidR="00D17E54" w:rsidRDefault="00D17E54">
      <w:pPr>
        <w:widowControl w:val="0"/>
        <w:jc w:val="left"/>
        <w:rPr>
          <w:rFonts w:cs="Times New Roman"/>
        </w:rPr>
      </w:pPr>
    </w:p>
    <w:p w:rsidR="00D17E54" w:rsidRDefault="00AF07D5">
      <w:pPr>
        <w:widowControl w:val="0"/>
        <w:jc w:val="left"/>
        <w:rPr>
          <w:rFonts w:cs="Times New Roman"/>
        </w:rPr>
      </w:pPr>
      <w:r>
        <w:rPr>
          <w:rFonts w:cs="Times New Roman"/>
        </w:rPr>
        <w:t>General Bill</w:t>
      </w:r>
    </w:p>
    <w:p w:rsidR="00D17E54" w:rsidRDefault="00AF07D5">
      <w:pPr>
        <w:widowControl w:val="0"/>
        <w:jc w:val="left"/>
        <w:rPr>
          <w:rFonts w:cs="Times New Roman"/>
        </w:rPr>
      </w:pPr>
      <w:r>
        <w:rPr>
          <w:rFonts w:cs="Times New Roman"/>
        </w:rPr>
        <w:t>Sponsors: Senator Cleary</w:t>
      </w:r>
    </w:p>
    <w:p w:rsidR="00D17E54" w:rsidRDefault="00AF07D5">
      <w:pPr>
        <w:widowControl w:val="0"/>
        <w:jc w:val="left"/>
        <w:rPr>
          <w:rFonts w:cs="Times New Roman"/>
        </w:rPr>
      </w:pPr>
      <w:r>
        <w:rPr>
          <w:rFonts w:cs="Times New Roman"/>
        </w:rPr>
        <w:t>Document Path: l:\s-res\rec\003comp.dag.rec.docx</w:t>
      </w:r>
    </w:p>
    <w:p w:rsidR="00D17E54" w:rsidRDefault="00D17E54">
      <w:pPr>
        <w:widowControl w:val="0"/>
        <w:jc w:val="left"/>
        <w:rPr>
          <w:rFonts w:cs="Times New Roman"/>
        </w:rPr>
      </w:pPr>
    </w:p>
    <w:p w:rsidR="00D17E54" w:rsidRDefault="00AF07D5">
      <w:pPr>
        <w:widowControl w:val="0"/>
        <w:jc w:val="left"/>
        <w:rPr>
          <w:rFonts w:cs="Times New Roman"/>
        </w:rPr>
      </w:pPr>
      <w:r>
        <w:rPr>
          <w:rFonts w:cs="Times New Roman"/>
        </w:rPr>
        <w:t>Introduced in the Senate on January 13, 2009</w:t>
      </w:r>
    </w:p>
    <w:p w:rsidR="00D17E54" w:rsidRDefault="00AF07D5">
      <w:pPr>
        <w:widowControl w:val="0"/>
        <w:jc w:val="left"/>
        <w:rPr>
          <w:rFonts w:cs="Times New Roman"/>
        </w:rPr>
      </w:pPr>
      <w:r>
        <w:rPr>
          <w:rFonts w:cs="Times New Roman"/>
        </w:rPr>
        <w:t xml:space="preserve">Currently residing in the Senate Committee on </w:t>
      </w:r>
      <w:r>
        <w:rPr>
          <w:rFonts w:cs="Times New Roman"/>
          <w:b/>
        </w:rPr>
        <w:t>Finance</w:t>
      </w:r>
    </w:p>
    <w:p w:rsidR="00D17E54" w:rsidRDefault="00D17E54">
      <w:pPr>
        <w:widowControl w:val="0"/>
        <w:jc w:val="left"/>
        <w:rPr>
          <w:rFonts w:cs="Times New Roman"/>
        </w:rPr>
      </w:pPr>
    </w:p>
    <w:p w:rsidR="00D17E54" w:rsidRDefault="00AF07D5">
      <w:pPr>
        <w:widowControl w:val="0"/>
        <w:jc w:val="left"/>
        <w:rPr>
          <w:rFonts w:cs="Times New Roman"/>
        </w:rPr>
      </w:pPr>
      <w:r>
        <w:rPr>
          <w:rFonts w:cs="Times New Roman"/>
        </w:rPr>
        <w:t>Summary: Local Economic Stimulus Grants Program</w:t>
      </w:r>
    </w:p>
    <w:p w:rsidR="00D17E54" w:rsidRDefault="00D17E54">
      <w:pPr>
        <w:widowControl w:val="0"/>
        <w:jc w:val="left"/>
        <w:rPr>
          <w:rFonts w:cs="Times New Roman"/>
        </w:rPr>
      </w:pPr>
    </w:p>
    <w:p w:rsidR="00D17E54" w:rsidRDefault="00D17E54">
      <w:pPr>
        <w:widowControl w:val="0"/>
        <w:jc w:val="left"/>
        <w:rPr>
          <w:rFonts w:cs="Times New Roman"/>
        </w:rPr>
      </w:pPr>
    </w:p>
    <w:p w:rsidR="00D17E54" w:rsidRDefault="00AF07D5">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D17E54" w:rsidRDefault="00D17E54">
      <w:pPr>
        <w:widowControl w:val="0"/>
        <w:tabs>
          <w:tab w:val="center" w:pos="590"/>
          <w:tab w:val="center" w:pos="1440"/>
          <w:tab w:val="left" w:pos="1872"/>
          <w:tab w:val="left" w:pos="9187"/>
        </w:tabs>
        <w:jc w:val="left"/>
        <w:rPr>
          <w:rFonts w:cs="Times New Roman"/>
        </w:rPr>
      </w:pPr>
    </w:p>
    <w:p w:rsidR="00D17E54" w:rsidRDefault="00AF07D5">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D17E54" w:rsidRDefault="00AF07D5">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D17E54" w:rsidRDefault="00AF07D5">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Finance</w:t>
      </w:r>
    </w:p>
    <w:p w:rsidR="00D17E54" w:rsidRDefault="00AF07D5">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5F558F">
          <w:rPr>
            <w:rStyle w:val="Hyperlink"/>
            <w:rFonts w:cs="Times New Roman"/>
          </w:rPr>
          <w:t>SJ</w:t>
        </w:r>
      </w:hyperlink>
      <w:r>
        <w:rPr>
          <w:rFonts w:cs="Times New Roman"/>
        </w:rPr>
        <w:noBreakHyphen/>
        <w:t>151</w:t>
      </w:r>
    </w:p>
    <w:p w:rsidR="00D17E54" w:rsidRDefault="00AF07D5">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Finance</w:t>
      </w:r>
      <w:r>
        <w:rPr>
          <w:rFonts w:cs="Times New Roman"/>
        </w:rPr>
        <w:t xml:space="preserve"> </w:t>
      </w:r>
      <w:hyperlink r:id="rId7" w:history="1">
        <w:r w:rsidRPr="005F558F">
          <w:rPr>
            <w:rStyle w:val="Hyperlink"/>
            <w:rFonts w:cs="Times New Roman"/>
          </w:rPr>
          <w:t>SJ</w:t>
        </w:r>
      </w:hyperlink>
      <w:r>
        <w:rPr>
          <w:rFonts w:cs="Times New Roman"/>
        </w:rPr>
        <w:noBreakHyphen/>
        <w:t>151</w:t>
      </w:r>
    </w:p>
    <w:p w:rsidR="00D17E54" w:rsidRDefault="00D17E54">
      <w:pPr>
        <w:widowControl w:val="0"/>
        <w:tabs>
          <w:tab w:val="right" w:pos="1008"/>
          <w:tab w:val="left" w:pos="1152"/>
          <w:tab w:val="left" w:pos="1872"/>
          <w:tab w:val="left" w:pos="9187"/>
        </w:tabs>
        <w:ind w:left="2088" w:hanging="2088"/>
        <w:jc w:val="left"/>
        <w:rPr>
          <w:rFonts w:cs="Times New Roman"/>
        </w:rPr>
      </w:pPr>
    </w:p>
    <w:p w:rsidR="00D17E54" w:rsidRDefault="00D17E54">
      <w:pPr>
        <w:widowControl w:val="0"/>
        <w:tabs>
          <w:tab w:val="right" w:pos="1008"/>
          <w:tab w:val="left" w:pos="1152"/>
          <w:tab w:val="left" w:pos="1872"/>
          <w:tab w:val="left" w:pos="9187"/>
        </w:tabs>
        <w:ind w:left="2088" w:hanging="2088"/>
        <w:jc w:val="left"/>
        <w:rPr>
          <w:rFonts w:cs="Times New Roman"/>
        </w:rPr>
      </w:pPr>
    </w:p>
    <w:p w:rsidR="00D17E54" w:rsidRDefault="00AF07D5">
      <w:pPr>
        <w:widowControl w:val="0"/>
        <w:jc w:val="left"/>
        <w:rPr>
          <w:rFonts w:cs="Times New Roman"/>
        </w:rPr>
      </w:pPr>
      <w:r>
        <w:rPr>
          <w:rFonts w:cs="Times New Roman"/>
          <w:b/>
        </w:rPr>
        <w:t>VERSIONS OF THIS BILL</w:t>
      </w:r>
    </w:p>
    <w:p w:rsidR="00D17E54" w:rsidRDefault="00D17E54">
      <w:pPr>
        <w:widowControl w:val="0"/>
        <w:jc w:val="left"/>
        <w:rPr>
          <w:rFonts w:cs="Times New Roman"/>
        </w:rPr>
      </w:pPr>
    </w:p>
    <w:p w:rsidR="00D17E54" w:rsidRDefault="00887F40">
      <w:pPr>
        <w:widowControl w:val="0"/>
        <w:jc w:val="left"/>
        <w:rPr>
          <w:rFonts w:cs="Times New Roman"/>
        </w:rPr>
      </w:pPr>
      <w:hyperlink r:id="rId8" w:history="1">
        <w:r w:rsidR="00AF07D5">
          <w:rPr>
            <w:rStyle w:val="Hyperlink"/>
            <w:rFonts w:cs="Times New Roman"/>
          </w:rPr>
          <w:t>12/10/2008</w:t>
        </w:r>
      </w:hyperlink>
    </w:p>
    <w:p w:rsidR="00D17E54" w:rsidRDefault="00D17E54"/>
    <w:p w:rsidR="00D17E54" w:rsidRDefault="00D17E54">
      <w:pPr>
        <w:sectPr w:rsidR="00D17E54">
          <w:pgSz w:w="12240" w:h="15840" w:code="1"/>
          <w:pgMar w:top="1080" w:right="1440" w:bottom="1080" w:left="1440" w:header="720" w:footer="720" w:gutter="0"/>
          <w:cols w:space="720"/>
          <w:noEndnote/>
          <w:docGrid w:linePitch="360"/>
        </w:sectPr>
      </w:pPr>
    </w:p>
    <w:p w:rsidR="00D17E54" w:rsidRDefault="00D17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17E54" w:rsidRDefault="00D17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17E54" w:rsidRDefault="00D17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17E54" w:rsidRDefault="00D17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17E54" w:rsidRDefault="00D17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17E54" w:rsidRDefault="00D17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17E54" w:rsidRDefault="00D17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17E54" w:rsidRDefault="00D17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17E54" w:rsidRDefault="00AF0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D17E54" w:rsidRDefault="00D17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17E54" w:rsidRDefault="00AF0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top"/>
      <w:bookmarkEnd w:id="3"/>
      <w:r>
        <w:rPr>
          <w:rFonts w:eastAsia="Times New Roman" w:cs="Times New Roman"/>
        </w:rPr>
        <w:t>TO AMEND TITLE 11 OF THE 1976 CODE BY ADDING CHAPTER 55, TO CREATE THE LOCAL ECONOMIC STIMULUS GRANTS PROGRAM, TO PROVIDE THAT THE PROGRAM IS GOVERNED BY THE GRANTS REVIEW COMMITTEE AND TO PROVIDE FOR ITS MEMBERSHIP, TO PROVIDE THE GRANT APPLICATION PROCESS, TO PROVIDE WHICH ENTITIES MAY RECEIVE A GRANT AND THE TYPE OF PROJECTS THAT A GRANT MAY SUPPORT, AND TO REQUIRE GRANT RECIPIENTS TO SUBMIT REPORTS THAT ITEMIZE THE EXPENDITURE OF GRANT FUNDS AND DESCRIBE THE BENEFITS TO THE COMMUNITY; AND TO AMEND CHAPTER 7 OF TITLE 2, RELATING TO LEGISLATIVE ENACTMENTS, BY ADDING SECTION 2</w:t>
      </w:r>
      <w:r>
        <w:rPr>
          <w:rFonts w:eastAsia="Times New Roman" w:cs="Times New Roman"/>
        </w:rPr>
        <w:noBreakHyphen/>
        <w:t>7</w:t>
      </w:r>
      <w:r>
        <w:rPr>
          <w:rFonts w:eastAsia="Times New Roman" w:cs="Times New Roman"/>
        </w:rPr>
        <w:noBreakHyphen/>
        <w:t>74 TO PROVIDE THAT BEGINNING WITH THE ANNUAL GENERAL APPROPRIATIONS ACT FOR FISCAL YEAR 2009</w:t>
      </w:r>
      <w:r>
        <w:rPr>
          <w:rFonts w:eastAsia="Times New Roman" w:cs="Times New Roman"/>
        </w:rPr>
        <w:noBreakHyphen/>
        <w:t>2010, NO COMPETITIVE GRANT PROGRAMS MAY BE ESTABLISHED IN THE STATE BUDGET AND CONTROL BOARD OR IN ANY OTHER AGENCY BY TEMPORARY PROVISO APPLICABLE FOR THE PARTICULAR FISCAL YEAR, AND TO PROVIDE THAT THE COMPETITIVE GRANTS PROGRAM OF THE STATE BUDGET AND CONTROL BOARD AND OTHER AGENCIES CONTAINED IN ACT 310 OF 2008 (THE 2008</w:t>
      </w:r>
      <w:r>
        <w:rPr>
          <w:rFonts w:eastAsia="Times New Roman" w:cs="Times New Roman"/>
        </w:rPr>
        <w:noBreakHyphen/>
        <w:t>2009 GENERAL APPROPRIATIONS ACT) IS ABOLISHED ON THE EFFECTIVE DATE OF THIS ACT.</w:t>
      </w:r>
    </w:p>
    <w:p w:rsidR="00D17E54" w:rsidRDefault="00D17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D17E54" w:rsidRDefault="00AF0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D17E54" w:rsidRDefault="00D17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17E54" w:rsidRDefault="00AF0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Title 11 of the 1976 Code is amended by adding:</w:t>
      </w:r>
    </w:p>
    <w:p w:rsidR="00D17E54" w:rsidRDefault="00D17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17E54" w:rsidRDefault="00AF0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“Chapter 55</w:t>
      </w:r>
    </w:p>
    <w:p w:rsidR="00D17E54" w:rsidRDefault="00D17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p>
    <w:p w:rsidR="00D17E54" w:rsidRDefault="00AF0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Local Economic Stimulus Grants</w:t>
      </w:r>
    </w:p>
    <w:p w:rsidR="00D17E54" w:rsidRDefault="00D17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17E54" w:rsidRDefault="00AF0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Section 11</w:t>
      </w:r>
      <w:r>
        <w:rPr>
          <w:rFonts w:eastAsia="Times New Roman" w:cs="Times New Roman"/>
        </w:rPr>
        <w:noBreakHyphen/>
        <w:t>55</w:t>
      </w:r>
      <w:r>
        <w:rPr>
          <w:rFonts w:eastAsia="Times New Roman" w:cs="Times New Roman"/>
        </w:rPr>
        <w:noBreakHyphen/>
        <w:t>10.</w:t>
      </w:r>
      <w:r>
        <w:rPr>
          <w:rFonts w:eastAsia="Times New Roman" w:cs="Times New Roman"/>
        </w:rPr>
        <w:tab/>
        <w:t>(A)</w:t>
      </w:r>
      <w:r>
        <w:rPr>
          <w:rFonts w:eastAsia="Times New Roman" w:cs="Times New Roman"/>
        </w:rPr>
        <w:tab/>
        <w:t>There is created within the Budget and Control Board the Local Economic Stimulus Grants Program for the purpose of awarding grants to counties, municipalities, and non</w:t>
      </w:r>
      <w:r>
        <w:rPr>
          <w:rFonts w:eastAsia="Times New Roman" w:cs="Times New Roman"/>
        </w:rPr>
        <w:noBreakHyphen/>
        <w:t>profit entities in South Carolina.</w:t>
      </w:r>
    </w:p>
    <w:p w:rsidR="00D17E54" w:rsidRDefault="00AF0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(B)</w:t>
      </w:r>
      <w:r>
        <w:rPr>
          <w:rFonts w:eastAsia="Times New Roman" w:cs="Times New Roman"/>
        </w:rPr>
        <w:tab/>
        <w:t>The program shall be governed by the Local Economic Stimulus Grants Review Committee.  The committee shall consist of five members with one member appointed by each of the following: the Governor, the President Pro Tempore of the Senate, the Speaker of the House of Representatives, the Chairman of the Finance Committee of the Senate, and the Chairman of the Ways and Means Committee of the House of Representatives.  Members shall serve two</w:t>
      </w:r>
      <w:r>
        <w:rPr>
          <w:rFonts w:eastAsia="Times New Roman" w:cs="Times New Roman"/>
        </w:rPr>
        <w:noBreakHyphen/>
        <w:t>year terms.  Vacancies must be filled in the manner of the original appointment for the unexpired portion of the term.  The committee must adopt rules of procedure and elect a chairman from the membership of the committee.</w:t>
      </w:r>
    </w:p>
    <w:p w:rsidR="00D17E54" w:rsidRDefault="00D17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17E54" w:rsidRDefault="00AF0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Section 11</w:t>
      </w:r>
      <w:r>
        <w:rPr>
          <w:rFonts w:eastAsia="Times New Roman" w:cs="Times New Roman"/>
        </w:rPr>
        <w:noBreakHyphen/>
        <w:t>55</w:t>
      </w:r>
      <w:r>
        <w:rPr>
          <w:rFonts w:eastAsia="Times New Roman" w:cs="Times New Roman"/>
        </w:rPr>
        <w:noBreakHyphen/>
        <w:t>20.</w:t>
      </w:r>
      <w:r>
        <w:rPr>
          <w:rFonts w:eastAsia="Times New Roman" w:cs="Times New Roman"/>
        </w:rPr>
        <w:tab/>
        <w:t>Grants must be awarded in amounts determined by the review committee from funds appropriated by the General Assembly.  The Budget and Control Board must provide staff for the committee.</w:t>
      </w:r>
    </w:p>
    <w:p w:rsidR="00D17E54" w:rsidRDefault="00D17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17E54" w:rsidRDefault="00AF0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Section 11</w:t>
      </w:r>
      <w:r>
        <w:rPr>
          <w:rFonts w:eastAsia="Times New Roman" w:cs="Times New Roman"/>
        </w:rPr>
        <w:noBreakHyphen/>
        <w:t>55</w:t>
      </w:r>
      <w:r>
        <w:rPr>
          <w:rFonts w:eastAsia="Times New Roman" w:cs="Times New Roman"/>
        </w:rPr>
        <w:noBreakHyphen/>
        <w:t>30.</w:t>
      </w:r>
      <w:r>
        <w:rPr>
          <w:rFonts w:eastAsia="Times New Roman" w:cs="Times New Roman"/>
        </w:rPr>
        <w:tab/>
        <w:t>(A)</w:t>
      </w:r>
      <w:r>
        <w:rPr>
          <w:rFonts w:eastAsia="Times New Roman" w:cs="Times New Roman"/>
        </w:rPr>
        <w:tab/>
        <w:t>A county, municipality, or non</w:t>
      </w:r>
      <w:r>
        <w:rPr>
          <w:rFonts w:eastAsia="Times New Roman" w:cs="Times New Roman"/>
        </w:rPr>
        <w:noBreakHyphen/>
        <w:t>profit entity seeking a grant must submit an application to the review committee.  The review committee shall develop guidelines and an application form to be utilized by the applicants.  The guidelines must set out objective, quantifiable criteria that must be met to award a grant.  Each application must be complete and must include an adequate description of the project that expresses the goals, objectives, or benefits to the local community that will be achieved with the grant funds.  A non</w:t>
      </w:r>
      <w:r>
        <w:rPr>
          <w:rFonts w:eastAsia="Times New Roman" w:cs="Times New Roman"/>
        </w:rPr>
        <w:noBreakHyphen/>
        <w:t>profit entity applying for these grant funds must also submit proof of its registration with the Secretary of State as a non</w:t>
      </w:r>
      <w:r>
        <w:rPr>
          <w:rFonts w:eastAsia="Times New Roman" w:cs="Times New Roman"/>
        </w:rPr>
        <w:noBreakHyphen/>
        <w:t>profit entity.</w:t>
      </w:r>
    </w:p>
    <w:p w:rsidR="00D17E54" w:rsidRDefault="00AF0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(B)</w:t>
      </w:r>
      <w:r>
        <w:rPr>
          <w:rFonts w:eastAsia="Times New Roman" w:cs="Times New Roman"/>
        </w:rPr>
        <w:tab/>
        <w:t>Within thirty days of submitting an application, the applicant must also file with the review committee:</w:t>
      </w:r>
    </w:p>
    <w:p w:rsidR="00D17E54" w:rsidRDefault="00AF0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Pr>
          <w:rFonts w:eastAsia="Times New Roman" w:cs="Times New Roman"/>
        </w:rPr>
        <w:tab/>
        <w:t>(1)</w:t>
      </w:r>
      <w:r>
        <w:rPr>
          <w:rFonts w:eastAsia="Times New Roman" w:cs="Times New Roman"/>
        </w:rPr>
        <w:tab/>
        <w:t>a letter from either the Governor or a legislative sponsor who represents the county, municipality, or location of the non</w:t>
      </w:r>
      <w:r>
        <w:rPr>
          <w:rFonts w:eastAsia="Times New Roman" w:cs="Times New Roman"/>
        </w:rPr>
        <w:noBreakHyphen/>
        <w:t>profit entity applying for the grant; and</w:t>
      </w:r>
    </w:p>
    <w:p w:rsidR="00D17E54" w:rsidRDefault="00AF0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a letter from the governing body of the county in which the grant would be expended and an economics expert detailing the economic benefit of the grant.</w:t>
      </w:r>
    </w:p>
    <w:p w:rsidR="00D17E54" w:rsidRDefault="00AF0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(C)</w:t>
      </w:r>
      <w:r>
        <w:rPr>
          <w:rFonts w:eastAsia="Times New Roman" w:cs="Times New Roman"/>
        </w:rPr>
        <w:tab/>
        <w:t>Grants may only be awarded on a non</w:t>
      </w:r>
      <w:r>
        <w:rPr>
          <w:rFonts w:eastAsia="Times New Roman" w:cs="Times New Roman"/>
        </w:rPr>
        <w:noBreakHyphen/>
        <w:t>recurring basis and only one grant may be awarded to a given project, or phase of a project.</w:t>
      </w:r>
    </w:p>
    <w:p w:rsidR="00D17E54" w:rsidRDefault="00AF0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(D)</w:t>
      </w:r>
      <w:r>
        <w:rPr>
          <w:rFonts w:eastAsia="Times New Roman" w:cs="Times New Roman"/>
        </w:rPr>
        <w:tab/>
        <w:t>No grant may be awarded to support a community festival.</w:t>
      </w:r>
    </w:p>
    <w:p w:rsidR="00D17E54" w:rsidRDefault="00AF0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(E)</w:t>
      </w:r>
      <w:r>
        <w:rPr>
          <w:rFonts w:eastAsia="Times New Roman" w:cs="Times New Roman"/>
        </w:rPr>
        <w:tab/>
        <w:t>No grant may be awarded to fund:</w:t>
      </w:r>
    </w:p>
    <w:p w:rsidR="00D17E54" w:rsidRDefault="00AF0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Pr>
          <w:rFonts w:eastAsia="Times New Roman" w:cs="Times New Roman"/>
        </w:rPr>
        <w:tab/>
        <w:t>(1)</w:t>
      </w:r>
      <w:r>
        <w:rPr>
          <w:rFonts w:eastAsia="Times New Roman" w:cs="Times New Roman"/>
        </w:rPr>
        <w:tab/>
        <w:t>administrative, consultant, or lobbyist charges not directly and inextricably related to achieving the goals of the grant as described in the application;</w:t>
      </w:r>
    </w:p>
    <w:p w:rsidR="00D17E54" w:rsidRDefault="00AF0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salaries or benefits; or</w:t>
      </w:r>
    </w:p>
    <w:p w:rsidR="00D17E54" w:rsidRDefault="00AF0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Pr>
          <w:rFonts w:eastAsia="Times New Roman" w:cs="Times New Roman"/>
        </w:rPr>
        <w:tab/>
        <w:t>(3)</w:t>
      </w:r>
      <w:r>
        <w:rPr>
          <w:rFonts w:eastAsia="Times New Roman" w:cs="Times New Roman"/>
        </w:rPr>
        <w:tab/>
        <w:t>alcoholic beverages.</w:t>
      </w:r>
    </w:p>
    <w:p w:rsidR="00D17E54" w:rsidRDefault="00D17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17E54" w:rsidRDefault="00AF0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Section 11</w:t>
      </w:r>
      <w:r>
        <w:rPr>
          <w:rFonts w:eastAsia="Times New Roman" w:cs="Times New Roman"/>
        </w:rPr>
        <w:noBreakHyphen/>
        <w:t>55</w:t>
      </w:r>
      <w:r>
        <w:rPr>
          <w:rFonts w:eastAsia="Times New Roman" w:cs="Times New Roman"/>
        </w:rPr>
        <w:noBreakHyphen/>
        <w:t>40.</w:t>
      </w:r>
      <w:r>
        <w:rPr>
          <w:rFonts w:eastAsia="Times New Roman" w:cs="Times New Roman"/>
        </w:rPr>
        <w:tab/>
        <w:t>(A)</w:t>
      </w:r>
      <w:r>
        <w:rPr>
          <w:rFonts w:eastAsia="Times New Roman" w:cs="Times New Roman"/>
        </w:rPr>
        <w:tab/>
        <w:t>The review committee must review each completed application.  The review committee must score each completed application, in a manner determined by the committee, to determine the applications’ benefit to the local community.  Grants shall be awarded in priority order based on the score of the application.</w:t>
      </w:r>
    </w:p>
    <w:p w:rsidR="00D17E54" w:rsidRDefault="00AF0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(B)</w:t>
      </w:r>
      <w:r>
        <w:rPr>
          <w:rFonts w:eastAsia="Times New Roman" w:cs="Times New Roman"/>
        </w:rPr>
        <w:tab/>
        <w:t>When the review committee awards a grant, the applicant and its sponsor shall be notified in writing and all grant awards must be posted on an internet website maintained by the Local Economic Stimulus Grants Program.</w:t>
      </w:r>
    </w:p>
    <w:p w:rsidR="00D17E54" w:rsidRDefault="00D17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17E54" w:rsidRDefault="00AF0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Section 11</w:t>
      </w:r>
      <w:r>
        <w:rPr>
          <w:rFonts w:eastAsia="Times New Roman" w:cs="Times New Roman"/>
        </w:rPr>
        <w:noBreakHyphen/>
        <w:t>55</w:t>
      </w:r>
      <w:r>
        <w:rPr>
          <w:rFonts w:eastAsia="Times New Roman" w:cs="Times New Roman"/>
        </w:rPr>
        <w:noBreakHyphen/>
        <w:t>50.</w:t>
      </w:r>
      <w:r>
        <w:rPr>
          <w:rFonts w:eastAsia="Times New Roman" w:cs="Times New Roman"/>
        </w:rPr>
        <w:tab/>
        <w:t>(A)</w:t>
      </w:r>
      <w:r>
        <w:rPr>
          <w:rFonts w:eastAsia="Times New Roman" w:cs="Times New Roman"/>
        </w:rPr>
        <w:tab/>
        <w:t>Each entity receiving a grant must submit a semi</w:t>
      </w:r>
      <w:r>
        <w:rPr>
          <w:rFonts w:eastAsia="Times New Roman" w:cs="Times New Roman"/>
        </w:rPr>
        <w:noBreakHyphen/>
        <w:t>annual report to the review committee that itemizes all expenditures of the of grant funds.  This report is due thirty days after the end of the reporting period.  Also, each entity receiving a grant must undergo a complete financial audit and make its financial records available to the public.</w:t>
      </w:r>
    </w:p>
    <w:p w:rsidR="00D17E54" w:rsidRDefault="00AF0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(B)</w:t>
      </w:r>
      <w:r>
        <w:rPr>
          <w:rFonts w:eastAsia="Times New Roman" w:cs="Times New Roman"/>
        </w:rPr>
        <w:tab/>
        <w:t>Within ninety days of all of the grant funds being expended or the conclusion of the project or program for which the grant was awarded, the recipient must submit a final report to the review committee.  The final report must include a complete accounting of grant fund expenditures and any revenues derived as a result of the project undertaken by the grant.  The accounting must be performed using generally accepting accounting principals.  The final report must also contain a detailed description of the results achieved as a result of the grant.  A recipient must retain its records regarding the grants funds for three years and must separate grant funds from other project funding.  A recipient may not submit the organization’s annual financial statement in lieu of the specific reports.</w:t>
      </w:r>
    </w:p>
    <w:p w:rsidR="00D17E54" w:rsidRDefault="00AF0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(C)</w:t>
      </w:r>
      <w:r>
        <w:rPr>
          <w:rFonts w:eastAsia="Times New Roman" w:cs="Times New Roman"/>
        </w:rPr>
        <w:tab/>
        <w:t>Any unexpended funds must be returned to the committee along with the final report.</w:t>
      </w:r>
    </w:p>
    <w:p w:rsidR="00D17E54" w:rsidRDefault="00AF0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(D)</w:t>
      </w:r>
      <w:r>
        <w:rPr>
          <w:rFonts w:eastAsia="Times New Roman" w:cs="Times New Roman"/>
        </w:rPr>
        <w:tab/>
        <w:t>The Budget and Control Board Office of Internal Audit shall have access to all committee records as it deems appropriate.</w:t>
      </w:r>
    </w:p>
    <w:p w:rsidR="00D17E54" w:rsidRDefault="00AF0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(E)</w:t>
      </w:r>
      <w:r>
        <w:rPr>
          <w:rFonts w:eastAsia="Times New Roman" w:cs="Times New Roman"/>
        </w:rPr>
        <w:tab/>
        <w:t>Three years after all of the grant funds were expended or upon the conclusion of the project or program, the entity must submit to the review committee a summary of the economic benefit the grant conferred upon the affected economy.</w:t>
      </w:r>
    </w:p>
    <w:p w:rsidR="00D17E54" w:rsidRDefault="00D17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17E54" w:rsidRDefault="00AF0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Chapter 7, Title 2 of the 1976 Code is amended by adding:</w:t>
      </w:r>
    </w:p>
    <w:p w:rsidR="00D17E54" w:rsidRDefault="00D17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17E54" w:rsidRDefault="00AF0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“Section 2</w:t>
      </w:r>
      <w:r>
        <w:rPr>
          <w:rFonts w:eastAsia="Times New Roman" w:cs="Times New Roman"/>
        </w:rPr>
        <w:noBreakHyphen/>
        <w:t>7</w:t>
      </w:r>
      <w:r>
        <w:rPr>
          <w:rFonts w:eastAsia="Times New Roman" w:cs="Times New Roman"/>
        </w:rPr>
        <w:noBreakHyphen/>
        <w:t>74.</w:t>
      </w:r>
      <w:r>
        <w:rPr>
          <w:rFonts w:eastAsia="Times New Roman" w:cs="Times New Roman"/>
        </w:rPr>
        <w:tab/>
        <w:t>Beginning with the annual general appropriations act for fiscal year 2009</w:t>
      </w:r>
      <w:r>
        <w:rPr>
          <w:rFonts w:eastAsia="Times New Roman" w:cs="Times New Roman"/>
        </w:rPr>
        <w:noBreakHyphen/>
        <w:t>2010, no competitive grant programs may be established in the State Budget and Control Board or in any other agency by temporary proviso applicable for the particular fiscal year.”</w:t>
      </w:r>
    </w:p>
    <w:p w:rsidR="00D17E54" w:rsidRDefault="00D17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17E54" w:rsidRDefault="00AF0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The competitive grants program of the State Budget and Control Board and other agencies contained in Act 310 of 2008 (the 2008</w:t>
      </w:r>
      <w:r>
        <w:rPr>
          <w:rFonts w:eastAsia="Times New Roman" w:cs="Times New Roman"/>
        </w:rPr>
        <w:noBreakHyphen/>
        <w:t>2009 general appropriations act) is abolished on the effective date of this act and any funds remaining in the program as of this date shall revert to the state general fund.  Grants awarded prior to this date shall be honored.</w:t>
      </w:r>
    </w:p>
    <w:p w:rsidR="00D17E54" w:rsidRDefault="00D17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17E54" w:rsidRDefault="00AF0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4.</w:t>
      </w:r>
      <w:r>
        <w:rPr>
          <w:rFonts w:eastAsia="Times New Roman" w:cs="Times New Roman"/>
        </w:rPr>
        <w:tab/>
        <w:t>This act takes effect upon approval by the Governor.</w:t>
      </w:r>
    </w:p>
    <w:p w:rsidR="00D17E54" w:rsidRDefault="00AF0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D17E54" w:rsidSect="00D17E5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7E54" w:rsidRDefault="00AF07D5">
      <w:r>
        <w:separator/>
      </w:r>
    </w:p>
  </w:endnote>
  <w:endnote w:type="continuationSeparator" w:id="0">
    <w:p w:rsidR="00D17E54" w:rsidRDefault="00AF0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982DFB-E631-42DF-B00B-AA80B88069F3}"/>
    <w:embedBold r:id="rId2" w:fontKey="{0C4470F7-F8D7-49F5-AC9B-154E855116CB}"/>
  </w:font>
  <w:font w:name="Calibri">
    <w:panose1 w:val="020F0502020204030204"/>
    <w:charset w:val="00"/>
    <w:family w:val="swiss"/>
    <w:pitch w:val="variable"/>
    <w:sig w:usb0="E10002FF" w:usb1="4000ACFF" w:usb2="00000009" w:usb3="00000000" w:csb0="0000019F" w:csb1="00000000"/>
    <w:embedRegular r:id="rId3" w:fontKey="{77E73920-E364-45D8-8866-BB3A480C4C9B}"/>
    <w:embedBold r:id="rId4" w:fontKey="{320C23D0-DD14-470C-A97D-63EE8BEF3ABF}"/>
  </w:font>
  <w:font w:name="Tahoma">
    <w:panose1 w:val="020B0604030504040204"/>
    <w:charset w:val="00"/>
    <w:family w:val="swiss"/>
    <w:pitch w:val="variable"/>
    <w:sig w:usb0="21002A87" w:usb1="80000000" w:usb2="00000008" w:usb3="00000000" w:csb0="000101FF" w:csb1="00000000"/>
    <w:embedRegular r:id="rId5" w:fontKey="{D06B1690-3FCC-4380-9A7B-4EB519621A2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DEB26833-0E75-475B-B02B-0A29E9D422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E54" w:rsidRDefault="00AF07D5">
    <w:pPr>
      <w:pStyle w:val="Footer"/>
      <w:tabs>
        <w:tab w:val="clear" w:pos="4680"/>
        <w:tab w:val="clear" w:pos="9360"/>
        <w:tab w:val="center" w:pos="2995"/>
      </w:tabs>
      <w:spacing w:before="120"/>
    </w:pPr>
    <w:r>
      <w:t>[171]</w:t>
    </w:r>
    <w:r>
      <w:tab/>
    </w:r>
    <w:r w:rsidR="00887F40">
      <w:fldChar w:fldCharType="begin"/>
    </w:r>
    <w:r w:rsidR="00887F40">
      <w:instrText xml:space="preserve"> PAGE  \* MERGEFORMAT </w:instrText>
    </w:r>
    <w:r w:rsidR="00887F40">
      <w:fldChar w:fldCharType="separate"/>
    </w:r>
    <w:r w:rsidR="00887F40">
      <w:rPr>
        <w:noProof/>
      </w:rPr>
      <w:t>1</w:t>
    </w:r>
    <w:r w:rsidR="00887F4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7E54" w:rsidRDefault="00AF07D5">
      <w:r>
        <w:separator/>
      </w:r>
    </w:p>
  </w:footnote>
  <w:footnote w:type="continuationSeparator" w:id="0">
    <w:p w:rsidR="00D17E54" w:rsidRDefault="00AF07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D17E54"/>
    <w:rsid w:val="00507E76"/>
    <w:rsid w:val="005F558F"/>
    <w:rsid w:val="00887F40"/>
    <w:rsid w:val="00AF07D5"/>
    <w:rsid w:val="00C64AA2"/>
    <w:rsid w:val="00D14E16"/>
    <w:rsid w:val="00D17E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F2BFE8D-9267-487A-B2FA-ABE639449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7E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D17E54"/>
    <w:rPr>
      <w:szCs w:val="21"/>
    </w:rPr>
  </w:style>
  <w:style w:type="character" w:customStyle="1" w:styleId="PlainTextChar">
    <w:name w:val="Plain Text Char"/>
    <w:basedOn w:val="DefaultParagraphFont"/>
    <w:link w:val="PlainText"/>
    <w:uiPriority w:val="99"/>
    <w:rsid w:val="00D17E54"/>
    <w:rPr>
      <w:szCs w:val="21"/>
    </w:rPr>
  </w:style>
  <w:style w:type="paragraph" w:styleId="BodyText">
    <w:name w:val="Body Text"/>
    <w:basedOn w:val="Normal"/>
    <w:link w:val="BodyTextChar"/>
    <w:uiPriority w:val="99"/>
    <w:locked/>
    <w:rsid w:val="00D17E54"/>
  </w:style>
  <w:style w:type="character" w:customStyle="1" w:styleId="BodyTextChar">
    <w:name w:val="Body Text Char"/>
    <w:basedOn w:val="DefaultParagraphFont"/>
    <w:link w:val="BodyText"/>
    <w:uiPriority w:val="99"/>
    <w:rsid w:val="00D17E54"/>
  </w:style>
  <w:style w:type="paragraph" w:styleId="BalloonText">
    <w:name w:val="Balloon Text"/>
    <w:next w:val="Normal"/>
    <w:link w:val="BalloonTextChar"/>
    <w:uiPriority w:val="99"/>
    <w:unhideWhenUsed/>
    <w:rsid w:val="00D17E54"/>
    <w:rPr>
      <w:rFonts w:cs="Tahoma"/>
      <w:szCs w:val="16"/>
    </w:rPr>
  </w:style>
  <w:style w:type="character" w:customStyle="1" w:styleId="BalloonTextChar">
    <w:name w:val="Balloon Text Char"/>
    <w:basedOn w:val="DefaultParagraphFont"/>
    <w:link w:val="BalloonText"/>
    <w:uiPriority w:val="99"/>
    <w:rsid w:val="00D17E54"/>
    <w:rPr>
      <w:rFonts w:cs="Tahoma"/>
      <w:szCs w:val="16"/>
    </w:rPr>
  </w:style>
  <w:style w:type="paragraph" w:styleId="NormalWeb">
    <w:name w:val="Normal (Web)"/>
    <w:basedOn w:val="Normal"/>
    <w:next w:val="Normal"/>
    <w:semiHidden/>
    <w:locked/>
    <w:rsid w:val="00D17E54"/>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D17E54"/>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D17E54"/>
    <w:rPr>
      <w:rFonts w:cs="Times New Roman"/>
    </w:rPr>
  </w:style>
  <w:style w:type="paragraph" w:styleId="Header">
    <w:name w:val="header"/>
    <w:basedOn w:val="Normal"/>
    <w:link w:val="HeaderChar"/>
    <w:uiPriority w:val="99"/>
    <w:semiHidden/>
    <w:unhideWhenUsed/>
    <w:locked/>
    <w:rsid w:val="00D17E54"/>
    <w:pPr>
      <w:tabs>
        <w:tab w:val="center" w:pos="4680"/>
        <w:tab w:val="right" w:pos="9360"/>
      </w:tabs>
    </w:pPr>
  </w:style>
  <w:style w:type="character" w:customStyle="1" w:styleId="HeaderChar">
    <w:name w:val="Header Char"/>
    <w:basedOn w:val="DefaultParagraphFont"/>
    <w:link w:val="Header"/>
    <w:uiPriority w:val="99"/>
    <w:semiHidden/>
    <w:rsid w:val="00D17E54"/>
  </w:style>
  <w:style w:type="character" w:styleId="LineNumber">
    <w:name w:val="line number"/>
    <w:basedOn w:val="DefaultParagraphFont"/>
    <w:uiPriority w:val="99"/>
    <w:semiHidden/>
    <w:unhideWhenUsed/>
    <w:locked/>
    <w:rsid w:val="00D17E54"/>
  </w:style>
  <w:style w:type="character" w:styleId="Hyperlink">
    <w:name w:val="Hyperlink"/>
    <w:basedOn w:val="DefaultParagraphFont"/>
    <w:uiPriority w:val="99"/>
    <w:unhideWhenUsed/>
    <w:locked/>
    <w:rsid w:val="00D17E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71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1211</Words>
  <Characters>6286</Characters>
  <Application>Microsoft Office Word</Application>
  <DocSecurity>0</DocSecurity>
  <Lines>184</Lines>
  <Paragraphs>49</Paragraphs>
  <ScaleCrop>false</ScaleCrop>
  <Company>Project Management</Company>
  <LinksUpToDate>false</LinksUpToDate>
  <CharactersWithSpaces>7497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171: Local Economic Stimulus Grants Program - South Carolina Legislature Online</dc:title>
  <dc:subject/>
  <dc:creator>NSC</dc:creator>
  <cp:keywords/>
  <dc:description/>
  <cp:lastModifiedBy>N Cumfer</cp:lastModifiedBy>
  <cp:revision>10</cp:revision>
  <dcterms:created xsi:type="dcterms:W3CDTF">2008-12-10T21:21:00Z</dcterms:created>
  <dcterms:modified xsi:type="dcterms:W3CDTF">2014-11-24T14:54:00Z</dcterms:modified>
</cp:coreProperties>
</file>