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8C1FF1">
        <w:rPr>
          <w:rFonts w:cs="Times New Roman"/>
          <w:b/>
        </w:rPr>
        <w:t>South Carolina General Assembly</w:t>
      </w: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1FF1">
        <w:rPr>
          <w:rFonts w:cs="Times New Roman"/>
        </w:rPr>
        <w:t>118th Session, 2009-2010</w:t>
      </w: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FF1" w:rsidRPr="008C1FF1" w:rsidRDefault="00F07D12"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A155, R181, S196</w:t>
      </w: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FF1">
        <w:rPr>
          <w:rFonts w:cs="Times New Roman"/>
          <w:b/>
        </w:rPr>
        <w:t>STATUS INFORMATION</w:t>
      </w: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FF1">
        <w:rPr>
          <w:rFonts w:cs="Times New Roman"/>
        </w:rPr>
        <w:t>General Bill</w:t>
      </w: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FF1">
        <w:rPr>
          <w:rFonts w:cs="Times New Roman"/>
        </w:rPr>
        <w:t>Sponsors: Senator McConnell</w:t>
      </w: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FF1">
        <w:rPr>
          <w:rFonts w:cs="Times New Roman"/>
        </w:rPr>
        <w:t>Document Path: l:\s-jud\bills\mcconnell\jud0040.pl.docx</w:t>
      </w: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6399" w:rsidRDefault="003E6399"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3E6399" w:rsidRDefault="003E6399"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22, 2009</w:t>
      </w:r>
    </w:p>
    <w:p w:rsidR="003E6399" w:rsidRDefault="003E6399"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21, 2010</w:t>
      </w:r>
    </w:p>
    <w:p w:rsidR="003E6399" w:rsidRDefault="003E6399"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May 13, 2010</w:t>
      </w:r>
    </w:p>
    <w:p w:rsidR="003E6399" w:rsidRDefault="003E6399"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FF1">
        <w:rPr>
          <w:rFonts w:cs="Times New Roman"/>
        </w:rPr>
        <w:t>Summary: Gas</w:t>
      </w: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FF1" w:rsidRPr="008C1FF1" w:rsidRDefault="008C1FF1" w:rsidP="008C1FF1">
      <w:pPr>
        <w:widowControl w:val="0"/>
        <w:tabs>
          <w:tab w:val="center" w:pos="590"/>
          <w:tab w:val="center" w:pos="1440"/>
          <w:tab w:val="left" w:pos="1872"/>
          <w:tab w:val="left" w:pos="9187"/>
        </w:tabs>
        <w:rPr>
          <w:rFonts w:cs="Times New Roman"/>
        </w:rPr>
      </w:pPr>
      <w:r w:rsidRPr="008C1FF1">
        <w:rPr>
          <w:rFonts w:cs="Times New Roman"/>
          <w:b/>
        </w:rPr>
        <w:t>HISTORY OF LEGISLATIVE ACTIONS</w:t>
      </w:r>
    </w:p>
    <w:p w:rsidR="008C1FF1" w:rsidRPr="008C1FF1" w:rsidRDefault="008C1FF1" w:rsidP="008C1FF1">
      <w:pPr>
        <w:widowControl w:val="0"/>
        <w:tabs>
          <w:tab w:val="center" w:pos="590"/>
          <w:tab w:val="center" w:pos="1440"/>
          <w:tab w:val="left" w:pos="1872"/>
          <w:tab w:val="left" w:pos="9187"/>
        </w:tabs>
        <w:rPr>
          <w:rFonts w:cs="Times New Roman"/>
        </w:rPr>
      </w:pPr>
    </w:p>
    <w:p w:rsidR="008C1FF1" w:rsidRPr="008C1FF1" w:rsidRDefault="008C1FF1" w:rsidP="008C1FF1">
      <w:pPr>
        <w:widowControl w:val="0"/>
        <w:tabs>
          <w:tab w:val="center" w:pos="590"/>
          <w:tab w:val="center" w:pos="1440"/>
          <w:tab w:val="left" w:pos="1872"/>
          <w:tab w:val="left" w:pos="9187"/>
        </w:tabs>
        <w:rPr>
          <w:rFonts w:cs="Times New Roman"/>
        </w:rPr>
      </w:pPr>
      <w:r w:rsidRPr="008C1FF1">
        <w:rPr>
          <w:rFonts w:cs="Times New Roman"/>
          <w:u w:val="single"/>
        </w:rPr>
        <w:tab/>
        <w:t>Date</w:t>
      </w:r>
      <w:r w:rsidRPr="008C1FF1">
        <w:rPr>
          <w:rFonts w:cs="Times New Roman"/>
          <w:u w:val="single"/>
        </w:rPr>
        <w:tab/>
        <w:t>Body</w:t>
      </w:r>
      <w:r w:rsidRPr="008C1FF1">
        <w:rPr>
          <w:rFonts w:cs="Times New Roman"/>
          <w:u w:val="single"/>
        </w:rPr>
        <w:tab/>
        <w:t>Action Description with journal page number</w:t>
      </w:r>
      <w:r w:rsidRPr="008C1FF1">
        <w:rPr>
          <w:rFonts w:cs="Times New Roman"/>
          <w:u w:val="single"/>
        </w:rPr>
        <w:tab/>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r>
      <w:r w:rsidRPr="00264AED">
        <w:rPr>
          <w:rFonts w:cs="Times New Roman"/>
        </w:rPr>
        <w:t>Prefiled</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12/17/2008</w:t>
      </w:r>
      <w:r>
        <w:rPr>
          <w:rFonts w:cs="Times New Roman"/>
        </w:rPr>
        <w:tab/>
        <w:t>Senate</w:t>
      </w:r>
      <w:r>
        <w:rPr>
          <w:rFonts w:cs="Times New Roman"/>
        </w:rPr>
        <w:tab/>
      </w:r>
      <w:r w:rsidRPr="00264AED">
        <w:rPr>
          <w:rFonts w:cs="Times New Roman"/>
        </w:rPr>
        <w:t xml:space="preserve">Referred to Committee on </w:t>
      </w:r>
      <w:r w:rsidRPr="00264AED">
        <w:rPr>
          <w:rFonts w:cs="Times New Roman"/>
          <w:b/>
        </w:rPr>
        <w:t>Judiciary</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264AED">
        <w:rPr>
          <w:rFonts w:cs="Times New Roman"/>
        </w:rPr>
        <w:t xml:space="preserve">Introduced and read first time </w:t>
      </w:r>
      <w:hyperlink r:id="rId6" w:history="1">
        <w:r w:rsidRPr="00DD67D7">
          <w:rPr>
            <w:rStyle w:val="Hyperlink"/>
            <w:rFonts w:cs="Times New Roman"/>
          </w:rPr>
          <w:t>SJ</w:t>
        </w:r>
      </w:hyperlink>
      <w:r>
        <w:rPr>
          <w:rFonts w:cs="Times New Roman"/>
        </w:rPr>
        <w:noBreakHyphen/>
      </w:r>
      <w:r w:rsidRPr="00264AED">
        <w:rPr>
          <w:rFonts w:cs="Times New Roman"/>
        </w:rPr>
        <w:t>162</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264AED">
        <w:rPr>
          <w:rFonts w:cs="Times New Roman"/>
        </w:rPr>
        <w:t xml:space="preserve">Referred to Committee on </w:t>
      </w:r>
      <w:r w:rsidRPr="00264AED">
        <w:rPr>
          <w:rFonts w:cs="Times New Roman"/>
          <w:b/>
        </w:rPr>
        <w:t>Judiciary</w:t>
      </w:r>
      <w:r w:rsidRPr="00264AED">
        <w:rPr>
          <w:rFonts w:cs="Times New Roman"/>
        </w:rPr>
        <w:t xml:space="preserve"> </w:t>
      </w:r>
      <w:hyperlink r:id="rId7" w:history="1">
        <w:r w:rsidRPr="00DD67D7">
          <w:rPr>
            <w:rStyle w:val="Hyperlink"/>
            <w:rFonts w:cs="Times New Roman"/>
          </w:rPr>
          <w:t>SJ</w:t>
        </w:r>
      </w:hyperlink>
      <w:r>
        <w:rPr>
          <w:rFonts w:cs="Times New Roman"/>
        </w:rPr>
        <w:noBreakHyphen/>
      </w:r>
      <w:r w:rsidRPr="00264AED">
        <w:rPr>
          <w:rFonts w:cs="Times New Roman"/>
        </w:rPr>
        <w:t>162</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1/23/2009</w:t>
      </w:r>
      <w:r>
        <w:rPr>
          <w:rFonts w:cs="Times New Roman"/>
        </w:rPr>
        <w:tab/>
        <w:t>Senate</w:t>
      </w:r>
      <w:r>
        <w:rPr>
          <w:rFonts w:cs="Times New Roman"/>
        </w:rPr>
        <w:tab/>
      </w:r>
      <w:r w:rsidRPr="00264AED">
        <w:rPr>
          <w:rFonts w:cs="Times New Roman"/>
        </w:rPr>
        <w:t>Referred to Subco</w:t>
      </w:r>
      <w:r>
        <w:rPr>
          <w:rFonts w:cs="Times New Roman"/>
        </w:rPr>
        <w:t xml:space="preserve">mmittee: L.Martin (ch), Rankin, </w:t>
      </w:r>
      <w:r w:rsidRPr="00264AED">
        <w:rPr>
          <w:rFonts w:cs="Times New Roman"/>
        </w:rPr>
        <w:t>Hutto, Bright, Davis</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r>
      <w:r w:rsidRPr="00264AED">
        <w:rPr>
          <w:rFonts w:cs="Times New Roman"/>
        </w:rPr>
        <w:t xml:space="preserve">Polled out of committee </w:t>
      </w:r>
      <w:r w:rsidRPr="00264AED">
        <w:rPr>
          <w:rFonts w:cs="Times New Roman"/>
          <w:b/>
        </w:rPr>
        <w:t>Judiciary</w:t>
      </w:r>
      <w:r w:rsidRPr="00264AED">
        <w:rPr>
          <w:rFonts w:cs="Times New Roman"/>
        </w:rPr>
        <w:t xml:space="preserve"> </w:t>
      </w:r>
      <w:hyperlink r:id="rId8" w:history="1">
        <w:r w:rsidRPr="00DD67D7">
          <w:rPr>
            <w:rStyle w:val="Hyperlink"/>
            <w:rFonts w:cs="Times New Roman"/>
          </w:rPr>
          <w:t>SJ</w:t>
        </w:r>
      </w:hyperlink>
      <w:r>
        <w:rPr>
          <w:rFonts w:cs="Times New Roman"/>
        </w:rPr>
        <w:noBreakHyphen/>
      </w:r>
      <w:r w:rsidRPr="00264AED">
        <w:rPr>
          <w:rFonts w:cs="Times New Roman"/>
        </w:rPr>
        <w:t>6</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r>
      <w:r w:rsidRPr="00264AED">
        <w:rPr>
          <w:rFonts w:cs="Times New Roman"/>
        </w:rPr>
        <w:t>Committee r</w:t>
      </w:r>
      <w:r>
        <w:rPr>
          <w:rFonts w:cs="Times New Roman"/>
        </w:rPr>
        <w:t xml:space="preserve">eport: Favorable with amendment </w:t>
      </w:r>
      <w:r w:rsidRPr="00264AED">
        <w:rPr>
          <w:rFonts w:cs="Times New Roman"/>
          <w:b/>
        </w:rPr>
        <w:t>Judiciary</w:t>
      </w:r>
      <w:r w:rsidRPr="00264AED">
        <w:rPr>
          <w:rFonts w:cs="Times New Roman"/>
        </w:rPr>
        <w:t xml:space="preserve"> </w:t>
      </w:r>
      <w:hyperlink r:id="rId9" w:history="1">
        <w:r w:rsidRPr="00DD67D7">
          <w:rPr>
            <w:rStyle w:val="Hyperlink"/>
            <w:rFonts w:cs="Times New Roman"/>
          </w:rPr>
          <w:t>SJ</w:t>
        </w:r>
      </w:hyperlink>
      <w:r>
        <w:rPr>
          <w:rFonts w:cs="Times New Roman"/>
        </w:rPr>
        <w:noBreakHyphen/>
      </w:r>
      <w:r w:rsidRPr="00264AED">
        <w:rPr>
          <w:rFonts w:cs="Times New Roman"/>
        </w:rPr>
        <w:t>6</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4/6/2009</w:t>
      </w:r>
      <w:r>
        <w:rPr>
          <w:rFonts w:cs="Times New Roman"/>
        </w:rPr>
        <w:tab/>
      </w:r>
      <w:r>
        <w:rPr>
          <w:rFonts w:cs="Times New Roman"/>
        </w:rPr>
        <w:tab/>
      </w:r>
      <w:r w:rsidRPr="00264AED">
        <w:rPr>
          <w:rFonts w:cs="Times New Roman"/>
        </w:rPr>
        <w:t>Scrivener's error corrected</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264AED">
        <w:rPr>
          <w:rFonts w:cs="Times New Roman"/>
        </w:rPr>
        <w:t xml:space="preserve">Committee Amendment Adopted </w:t>
      </w:r>
      <w:hyperlink r:id="rId10" w:history="1">
        <w:r w:rsidRPr="00DD67D7">
          <w:rPr>
            <w:rStyle w:val="Hyperlink"/>
            <w:rFonts w:cs="Times New Roman"/>
          </w:rPr>
          <w:t>SJ</w:t>
        </w:r>
      </w:hyperlink>
      <w:r>
        <w:rPr>
          <w:rFonts w:cs="Times New Roman"/>
        </w:rPr>
        <w:noBreakHyphen/>
      </w:r>
      <w:r w:rsidRPr="00264AED">
        <w:rPr>
          <w:rFonts w:cs="Times New Roman"/>
        </w:rPr>
        <w:t>19</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264AED">
        <w:rPr>
          <w:rFonts w:cs="Times New Roman"/>
        </w:rPr>
        <w:t xml:space="preserve">Read second time </w:t>
      </w:r>
      <w:hyperlink r:id="rId11" w:history="1">
        <w:r w:rsidRPr="00DD67D7">
          <w:rPr>
            <w:rStyle w:val="Hyperlink"/>
            <w:rFonts w:cs="Times New Roman"/>
          </w:rPr>
          <w:t>SJ</w:t>
        </w:r>
      </w:hyperlink>
      <w:r>
        <w:rPr>
          <w:rFonts w:cs="Times New Roman"/>
        </w:rPr>
        <w:noBreakHyphen/>
      </w:r>
      <w:r w:rsidRPr="00264AED">
        <w:rPr>
          <w:rFonts w:cs="Times New Roman"/>
        </w:rPr>
        <w:t>19</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r>
      <w:r>
        <w:rPr>
          <w:rFonts w:cs="Times New Roman"/>
        </w:rPr>
        <w:tab/>
      </w:r>
      <w:r w:rsidRPr="00264AED">
        <w:rPr>
          <w:rFonts w:cs="Times New Roman"/>
        </w:rPr>
        <w:t>Scrivener's error corrected</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r>
      <w:r w:rsidRPr="00264AED">
        <w:rPr>
          <w:rFonts w:cs="Times New Roman"/>
        </w:rPr>
        <w:t xml:space="preserve">Read third time and sent to House </w:t>
      </w:r>
      <w:hyperlink r:id="rId12" w:history="1">
        <w:r w:rsidRPr="00DD67D7">
          <w:rPr>
            <w:rStyle w:val="Hyperlink"/>
            <w:rFonts w:cs="Times New Roman"/>
          </w:rPr>
          <w:t>SJ</w:t>
        </w:r>
      </w:hyperlink>
      <w:r>
        <w:rPr>
          <w:rFonts w:cs="Times New Roman"/>
        </w:rPr>
        <w:noBreakHyphen/>
      </w:r>
      <w:r w:rsidRPr="00264AED">
        <w:rPr>
          <w:rFonts w:cs="Times New Roman"/>
        </w:rPr>
        <w:t>18</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264AED">
        <w:rPr>
          <w:rFonts w:cs="Times New Roman"/>
        </w:rPr>
        <w:t xml:space="preserve">Introduced and read first time </w:t>
      </w:r>
      <w:hyperlink r:id="rId13" w:history="1">
        <w:r w:rsidRPr="00DD67D7">
          <w:rPr>
            <w:rStyle w:val="Hyperlink"/>
            <w:rFonts w:cs="Times New Roman"/>
          </w:rPr>
          <w:t>HJ</w:t>
        </w:r>
      </w:hyperlink>
      <w:r>
        <w:rPr>
          <w:rFonts w:cs="Times New Roman"/>
        </w:rPr>
        <w:noBreakHyphen/>
      </w:r>
      <w:r w:rsidRPr="00264AED">
        <w:rPr>
          <w:rFonts w:cs="Times New Roman"/>
        </w:rPr>
        <w:t>16</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264AED">
        <w:rPr>
          <w:rFonts w:cs="Times New Roman"/>
        </w:rPr>
        <w:t xml:space="preserve">Referred to Committee on </w:t>
      </w:r>
      <w:r w:rsidRPr="00264AED">
        <w:rPr>
          <w:rFonts w:cs="Times New Roman"/>
          <w:b/>
        </w:rPr>
        <w:t>Judiciary</w:t>
      </w:r>
      <w:r w:rsidRPr="00264AED">
        <w:rPr>
          <w:rFonts w:cs="Times New Roman"/>
        </w:rPr>
        <w:t xml:space="preserve"> </w:t>
      </w:r>
      <w:hyperlink r:id="rId14" w:history="1">
        <w:r w:rsidRPr="00DD67D7">
          <w:rPr>
            <w:rStyle w:val="Hyperlink"/>
            <w:rFonts w:cs="Times New Roman"/>
          </w:rPr>
          <w:t>HJ</w:t>
        </w:r>
      </w:hyperlink>
      <w:r>
        <w:rPr>
          <w:rFonts w:cs="Times New Roman"/>
        </w:rPr>
        <w:noBreakHyphen/>
      </w:r>
      <w:r w:rsidRPr="00264AED">
        <w:rPr>
          <w:rFonts w:cs="Times New Roman"/>
        </w:rPr>
        <w:t>16</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264AED">
        <w:rPr>
          <w:rFonts w:cs="Times New Roman"/>
        </w:rPr>
        <w:t xml:space="preserve">Committee report: Favorable </w:t>
      </w:r>
      <w:r w:rsidRPr="00264AED">
        <w:rPr>
          <w:rFonts w:cs="Times New Roman"/>
          <w:b/>
        </w:rPr>
        <w:t>Judiciary</w:t>
      </w:r>
      <w:r w:rsidRPr="00264AED">
        <w:rPr>
          <w:rFonts w:cs="Times New Roman"/>
        </w:rPr>
        <w:t xml:space="preserve"> </w:t>
      </w:r>
      <w:hyperlink r:id="rId15" w:history="1">
        <w:r w:rsidRPr="00DD67D7">
          <w:rPr>
            <w:rStyle w:val="Hyperlink"/>
            <w:rFonts w:cs="Times New Roman"/>
          </w:rPr>
          <w:t>HJ</w:t>
        </w:r>
      </w:hyperlink>
      <w:r>
        <w:rPr>
          <w:rFonts w:cs="Times New Roman"/>
        </w:rPr>
        <w:noBreakHyphen/>
      </w:r>
      <w:r w:rsidRPr="00264AED">
        <w:rPr>
          <w:rFonts w:cs="Times New Roman"/>
        </w:rPr>
        <w:t>31</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264AED">
        <w:rPr>
          <w:rFonts w:cs="Times New Roman"/>
        </w:rPr>
        <w:t xml:space="preserve">Read second time </w:t>
      </w:r>
      <w:hyperlink r:id="rId16" w:history="1">
        <w:r w:rsidRPr="00DD67D7">
          <w:rPr>
            <w:rStyle w:val="Hyperlink"/>
            <w:rFonts w:cs="Times New Roman"/>
          </w:rPr>
          <w:t>HJ</w:t>
        </w:r>
      </w:hyperlink>
      <w:r>
        <w:rPr>
          <w:rFonts w:cs="Times New Roman"/>
        </w:rPr>
        <w:noBreakHyphen/>
      </w:r>
      <w:r w:rsidRPr="00264AED">
        <w:rPr>
          <w:rFonts w:cs="Times New Roman"/>
        </w:rPr>
        <w:t>21</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264AED">
        <w:rPr>
          <w:rFonts w:cs="Times New Roman"/>
        </w:rPr>
        <w:t xml:space="preserve">Read third time and enrolled </w:t>
      </w:r>
      <w:hyperlink r:id="rId17" w:history="1">
        <w:r w:rsidRPr="00DD67D7">
          <w:rPr>
            <w:rStyle w:val="Hyperlink"/>
            <w:rFonts w:cs="Times New Roman"/>
          </w:rPr>
          <w:t>HJ</w:t>
        </w:r>
      </w:hyperlink>
      <w:r>
        <w:rPr>
          <w:rFonts w:cs="Times New Roman"/>
        </w:rPr>
        <w:noBreakHyphen/>
      </w:r>
      <w:r w:rsidRPr="00264AED">
        <w:rPr>
          <w:rFonts w:cs="Times New Roman"/>
        </w:rPr>
        <w:t>13</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264AED">
        <w:rPr>
          <w:rFonts w:cs="Times New Roman"/>
        </w:rPr>
        <w:t>Ratified R 181</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264AED">
        <w:rPr>
          <w:rFonts w:cs="Times New Roman"/>
        </w:rPr>
        <w:t>Became law without Governor's signature</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264AED">
        <w:rPr>
          <w:rFonts w:cs="Times New Roman"/>
        </w:rPr>
        <w:t>Effective date See Act for Effective Date</w:t>
      </w:r>
    </w:p>
    <w:p w:rsidR="00F07D12" w:rsidRDefault="00F07D12" w:rsidP="00F07D12">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264AED">
        <w:rPr>
          <w:rFonts w:cs="Times New Roman"/>
        </w:rPr>
        <w:t>Act No</w:t>
      </w:r>
      <w:r>
        <w:rPr>
          <w:rFonts w:cs="Times New Roman"/>
        </w:rPr>
        <w:t>. </w:t>
      </w:r>
      <w:r w:rsidRPr="00264AED">
        <w:rPr>
          <w:rFonts w:cs="Times New Roman"/>
        </w:rPr>
        <w:t>155</w:t>
      </w:r>
    </w:p>
    <w:p w:rsidR="00F07D12" w:rsidRDefault="00F07D12" w:rsidP="00F07D12">
      <w:pPr>
        <w:widowControl w:val="0"/>
        <w:tabs>
          <w:tab w:val="right" w:pos="1008"/>
          <w:tab w:val="left" w:pos="1152"/>
          <w:tab w:val="left" w:pos="1872"/>
          <w:tab w:val="left" w:pos="9187"/>
        </w:tabs>
        <w:ind w:left="2088" w:hanging="2088"/>
        <w:rPr>
          <w:rFonts w:cs="Times New Roman"/>
        </w:rPr>
      </w:pPr>
    </w:p>
    <w:p w:rsidR="008C1FF1" w:rsidRPr="008C1FF1" w:rsidRDefault="008C1FF1" w:rsidP="008C1FF1">
      <w:pPr>
        <w:widowControl w:val="0"/>
        <w:tabs>
          <w:tab w:val="right" w:pos="1008"/>
          <w:tab w:val="left" w:pos="1152"/>
          <w:tab w:val="left" w:pos="1872"/>
          <w:tab w:val="left" w:pos="9187"/>
        </w:tabs>
        <w:ind w:left="2088" w:hanging="2088"/>
        <w:rPr>
          <w:rFonts w:cs="Times New Roman"/>
        </w:rPr>
      </w:pP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1FF1">
        <w:rPr>
          <w:rFonts w:cs="Times New Roman"/>
          <w:b/>
        </w:rPr>
        <w:t>VERSIONS OF THIS BILL</w:t>
      </w:r>
    </w:p>
    <w:p w:rsidR="008C1FF1" w:rsidRPr="008C1FF1" w:rsidRDefault="008C1FF1"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1FF1" w:rsidRPr="008C1FF1" w:rsidRDefault="00972ABD" w:rsidP="008C1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8C1FF1" w:rsidRPr="008C1FF1">
          <w:rPr>
            <w:rFonts w:cs="Times New Roman"/>
            <w:color w:val="0000FF" w:themeColor="hyperlink"/>
            <w:u w:val="single"/>
          </w:rPr>
          <w:t>12/17/2008</w:t>
        </w:r>
      </w:hyperlink>
    </w:p>
    <w:p w:rsidR="008C1FF1" w:rsidRPr="008C1FF1" w:rsidRDefault="00972ABD" w:rsidP="008C1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8C1FF1" w:rsidRPr="008C1FF1">
          <w:rPr>
            <w:color w:val="0000FF" w:themeColor="hyperlink"/>
            <w:u w:val="single"/>
          </w:rPr>
          <w:t>4/2/2009</w:t>
        </w:r>
      </w:hyperlink>
    </w:p>
    <w:p w:rsidR="008C1FF1" w:rsidRPr="008C1FF1" w:rsidRDefault="00972ABD" w:rsidP="008C1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8C1FF1" w:rsidRPr="008C1FF1">
          <w:rPr>
            <w:color w:val="0000FF" w:themeColor="hyperlink"/>
            <w:u w:val="single"/>
          </w:rPr>
          <w:t>4/6/2009</w:t>
        </w:r>
      </w:hyperlink>
    </w:p>
    <w:p w:rsidR="008C1FF1" w:rsidRPr="008C1FF1" w:rsidRDefault="00972ABD" w:rsidP="008C1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8C1FF1" w:rsidRPr="008C1FF1">
          <w:rPr>
            <w:color w:val="0000FF" w:themeColor="hyperlink"/>
            <w:u w:val="single"/>
          </w:rPr>
          <w:t>4/15/2009</w:t>
        </w:r>
      </w:hyperlink>
    </w:p>
    <w:p w:rsidR="008C1FF1" w:rsidRPr="008C1FF1" w:rsidRDefault="00972ABD" w:rsidP="008C1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2" w:history="1">
        <w:r w:rsidR="008C1FF1" w:rsidRPr="008C1FF1">
          <w:rPr>
            <w:color w:val="0000FF" w:themeColor="hyperlink"/>
            <w:u w:val="single"/>
          </w:rPr>
          <w:t>4/16/2009</w:t>
        </w:r>
      </w:hyperlink>
    </w:p>
    <w:p w:rsidR="008C1FF1" w:rsidRPr="008C1FF1" w:rsidRDefault="00972ABD" w:rsidP="008C1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3" w:history="1">
        <w:r w:rsidR="008C1FF1" w:rsidRPr="008C1FF1">
          <w:rPr>
            <w:color w:val="0000FF" w:themeColor="hyperlink"/>
            <w:u w:val="single"/>
          </w:rPr>
          <w:t>3/24/2010</w:t>
        </w:r>
      </w:hyperlink>
    </w:p>
    <w:p w:rsidR="008C1FF1" w:rsidRPr="008C1FF1" w:rsidRDefault="008C1FF1" w:rsidP="008C1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FF1" w:rsidRDefault="008C1FF1" w:rsidP="008C1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1FF1" w:rsidSect="008C1FF1">
          <w:pgSz w:w="12240" w:h="15840" w:code="1"/>
          <w:pgMar w:top="1080" w:right="1440" w:bottom="1080" w:left="1440" w:header="720" w:footer="720" w:gutter="0"/>
          <w:pgNumType w:start="1"/>
          <w:cols w:space="720"/>
          <w:noEndnote/>
          <w:docGrid w:linePitch="360"/>
        </w:sectPr>
      </w:pPr>
    </w:p>
    <w:p w:rsidR="00EF74E8"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(A155, R181, S196)</w:t>
      </w:r>
    </w:p>
    <w:p w:rsidR="00EF74E8" w:rsidRPr="008836A5"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74E8" w:rsidRPr="008C1FF1"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1FF1">
        <w:rPr>
          <w:rFonts w:cs="Times New Roman"/>
          <w:b/>
          <w:color w:val="000000" w:themeColor="text1"/>
          <w:szCs w:val="36"/>
        </w:rPr>
        <w:t xml:space="preserve">AN ACT </w:t>
      </w:r>
      <w:bookmarkStart w:id="1" w:name="titleend"/>
      <w:bookmarkEnd w:id="1"/>
      <w:r w:rsidRPr="008C1FF1">
        <w:rPr>
          <w:rFonts w:eastAsia="Calibri" w:cs="Times New Roman"/>
          <w:b/>
        </w:rPr>
        <w:t>TO AMEND THE CODE OF LAWS OF SOUTH CAROLINA, 1976, BY ADDING SECTION 15</w:t>
      </w:r>
      <w:r w:rsidRPr="008C1FF1">
        <w:rPr>
          <w:rFonts w:eastAsia="Calibri" w:cs="Times New Roman"/>
          <w:b/>
        </w:rPr>
        <w:noBreakHyphen/>
        <w:t>3</w:t>
      </w:r>
      <w:r w:rsidRPr="008C1FF1">
        <w:rPr>
          <w:rFonts w:eastAsia="Calibri" w:cs="Times New Roman"/>
          <w:b/>
        </w:rPr>
        <w:noBreakHyphen/>
        <w:t>690 SO AS TO PROVIDE A LIQUEFIED PETROLEUM GAS DEALER IS IMMUNE FROM CIVIL LIABILITY FOR AN INJURY OR DAMAGE PROXIMATELY CAUSED BY A LIQUEFIED PETROLEUM GAS SYSTEM OR GAS BURNING APPLIANCE IN CERTAIN CIRCUMSTANCES, TO PROVIDE CERTAIN DEFINITIONS, AND TO LIMIT APPLICABILITY OF THE SECTION; AND TO AMEND SECTION 40</w:t>
      </w:r>
      <w:r w:rsidRPr="008C1FF1">
        <w:rPr>
          <w:rFonts w:eastAsia="Calibri" w:cs="Times New Roman"/>
          <w:b/>
        </w:rPr>
        <w:noBreakHyphen/>
        <w:t>82</w:t>
      </w:r>
      <w:r w:rsidRPr="008C1FF1">
        <w:rPr>
          <w:rFonts w:eastAsia="Calibri" w:cs="Times New Roman"/>
          <w:b/>
        </w:rPr>
        <w:noBreakHyphen/>
        <w:t>270, RELATING TO THE REQUIREMENT TO NOTIFY A PROPANE SUPPLIER BEFORE BEGINNING WORK ON A SYSTEM SUPPLIED BY A LIQUEFIED PETROLEUM GAS SUPPLIER, SO AS TO PROVIDE A CONSUMER, OWNER, END USER, OR PERSON WHO ALTERS OR MODIFIES HIS LIQUEFIED PETROLEUM GAS EQUIPMENT, GAS BURNING APPLIANCE, OR SYSTEM INSTALLED BY A LICENSED DEALER MUST NOTIFY THE LICENSED DEALER WHO NEXT FILLS OR OTHERWISE SERVICES HIS LIQUEFIED PETROLEUM GAS SYSTEM THAT THIS WORK HAS BEEN PERFORMED, TO PROVIDE THE LICENSED DEALER MUST NOTIFY THEIR CUSTOMERS IN WRITING AT LEAST ONCE ANNUALLY OF THE CUSTOMER’S STATUTORY OBLIGATION OF NOTIFICATION IN REGARD TO MODIFICATIONS TO THEIR PROPANE APPLIANCES OR SYSTEMS, AND TO PROVIDE THIS NOTICE TO CUSTOMERS SHOULD BE PROVIDED IN A SEPARATE AND DISTINCT DISCLOSURE AND NOT A PART OF OTHER SAFETY LITERATURE GIVEN TO CUSTOMERS.</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F74E8"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A1552">
        <w:rPr>
          <w:rFonts w:eastAsia="Times New Roman" w:cs="Times New Roman"/>
        </w:rPr>
        <w:t>Be it enacted by the General Assembly of the State of South Carolina:</w:t>
      </w:r>
    </w:p>
    <w:p w:rsidR="00EF74E8"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F74E8" w:rsidRPr="00E43A3C"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Immunity from civil liability for liquefied petroleum gas dealers, definitions, scope</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A1552">
        <w:rPr>
          <w:rFonts w:eastAsia="Calibri" w:cs="Times New Roman"/>
        </w:rPr>
        <w:t>SECTION</w:t>
      </w:r>
      <w:r w:rsidRPr="00FA1552">
        <w:rPr>
          <w:rFonts w:eastAsia="Calibri" w:cs="Times New Roman"/>
        </w:rPr>
        <w:tab/>
        <w:t>1.</w:t>
      </w:r>
      <w:r w:rsidRPr="00FA1552">
        <w:rPr>
          <w:rFonts w:eastAsia="Calibri" w:cs="Times New Roman"/>
        </w:rPr>
        <w:tab/>
        <w:t>Chapter 3</w:t>
      </w:r>
      <w:r>
        <w:rPr>
          <w:rFonts w:eastAsia="Calibri" w:cs="Times New Roman"/>
        </w:rPr>
        <w:t xml:space="preserve">, </w:t>
      </w:r>
      <w:r w:rsidRPr="00FA1552">
        <w:rPr>
          <w:rFonts w:eastAsia="Calibri" w:cs="Times New Roman"/>
        </w:rPr>
        <w:t>Title 15 of the 1976 Code is amended by adding:</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A1552">
        <w:rPr>
          <w:rFonts w:eastAsia="Calibri" w:cs="Times New Roman"/>
        </w:rPr>
        <w:tab/>
        <w:t>“Section 15</w:t>
      </w:r>
      <w:r>
        <w:rPr>
          <w:rFonts w:eastAsia="Calibri" w:cs="Times New Roman"/>
        </w:rPr>
        <w:noBreakHyphen/>
      </w:r>
      <w:r w:rsidRPr="00FA1552">
        <w:rPr>
          <w:rFonts w:eastAsia="Calibri" w:cs="Times New Roman"/>
        </w:rPr>
        <w:t>3</w:t>
      </w:r>
      <w:r>
        <w:rPr>
          <w:rFonts w:eastAsia="Calibri" w:cs="Times New Roman"/>
        </w:rPr>
        <w:noBreakHyphen/>
      </w:r>
      <w:r w:rsidRPr="00FA1552">
        <w:rPr>
          <w:rFonts w:eastAsia="Calibri" w:cs="Times New Roman"/>
        </w:rPr>
        <w:t>690.</w:t>
      </w:r>
      <w:r w:rsidRPr="00FA1552">
        <w:rPr>
          <w:rFonts w:eastAsia="Calibri" w:cs="Times New Roman"/>
        </w:rPr>
        <w:tab/>
      </w:r>
      <w:r w:rsidRPr="00FA1552">
        <w:rPr>
          <w:rFonts w:eastAsia="Calibri" w:cs="Times New Roman"/>
        </w:rPr>
        <w:tab/>
        <w:t>(A)</w:t>
      </w:r>
      <w:r w:rsidRPr="00FA1552">
        <w:rPr>
          <w:rFonts w:eastAsia="Calibri" w:cs="Times New Roman"/>
        </w:rPr>
        <w:tab/>
        <w:t>As used in this subsection, the following definitions apply:</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A1552">
        <w:rPr>
          <w:rFonts w:eastAsia="Calibri" w:cs="Times New Roman"/>
        </w:rPr>
        <w:lastRenderedPageBreak/>
        <w:tab/>
      </w:r>
      <w:r w:rsidRPr="00FA1552">
        <w:rPr>
          <w:rFonts w:eastAsia="Calibri" w:cs="Times New Roman"/>
        </w:rPr>
        <w:tab/>
        <w:t>(1)</w:t>
      </w:r>
      <w:r w:rsidRPr="00FA1552">
        <w:rPr>
          <w:rFonts w:eastAsia="Calibri" w:cs="Times New Roman"/>
        </w:rPr>
        <w:tab/>
      </w:r>
      <w:r w:rsidRPr="007A48C3">
        <w:rPr>
          <w:rFonts w:cs="Times New Roman"/>
          <w:color w:val="000000"/>
        </w:rPr>
        <w:t>‘</w:t>
      </w:r>
      <w:r w:rsidRPr="00FA1552">
        <w:rPr>
          <w:rFonts w:cs="Times New Roman"/>
          <w:color w:val="000000"/>
        </w:rPr>
        <w:t>System</w:t>
      </w:r>
      <w:r w:rsidRPr="007A48C3">
        <w:rPr>
          <w:rFonts w:cs="Times New Roman"/>
          <w:color w:val="000000"/>
        </w:rPr>
        <w:t>’</w:t>
      </w:r>
      <w:r w:rsidRPr="00FA1552">
        <w:rPr>
          <w:rFonts w:cs="Times New Roman"/>
          <w:color w:val="000000"/>
        </w:rPr>
        <w:t xml:space="preserve"> or </w:t>
      </w:r>
      <w:r w:rsidRPr="007A48C3">
        <w:rPr>
          <w:rFonts w:cs="Times New Roman"/>
          <w:color w:val="000000"/>
        </w:rPr>
        <w:t>‘</w:t>
      </w:r>
      <w:r w:rsidRPr="00FA1552">
        <w:rPr>
          <w:rFonts w:cs="Times New Roman"/>
          <w:color w:val="000000"/>
        </w:rPr>
        <w:t>systems</w:t>
      </w:r>
      <w:r w:rsidRPr="007A48C3">
        <w:rPr>
          <w:rFonts w:cs="Times New Roman"/>
          <w:color w:val="000000"/>
        </w:rPr>
        <w:t>’</w:t>
      </w:r>
      <w:r w:rsidRPr="00FA1552">
        <w:rPr>
          <w:rFonts w:cs="Times New Roman"/>
          <w:color w:val="000000"/>
        </w:rPr>
        <w:t xml:space="preserve"> means assembly of equipment consisting of the container and any device that is connected to the container for the utilization of liquefied petroleum gas</w:t>
      </w:r>
      <w:r w:rsidRPr="00FA1552">
        <w:rPr>
          <w:rFonts w:eastAsia="Calibri" w:cs="Times New Roman"/>
        </w:rPr>
        <w:t>.</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A1552">
        <w:rPr>
          <w:rFonts w:eastAsia="Calibri" w:cs="Times New Roman"/>
        </w:rPr>
        <w:tab/>
      </w:r>
      <w:r w:rsidRPr="00FA1552">
        <w:rPr>
          <w:rFonts w:eastAsia="Calibri" w:cs="Times New Roman"/>
        </w:rPr>
        <w:tab/>
        <w:t>(2)</w:t>
      </w:r>
      <w:r w:rsidRPr="00FA1552">
        <w:rPr>
          <w:rFonts w:eastAsia="Calibri" w:cs="Times New Roman"/>
        </w:rPr>
        <w:tab/>
      </w:r>
      <w:r w:rsidRPr="007A48C3">
        <w:rPr>
          <w:rFonts w:cs="Times New Roman"/>
          <w:color w:val="000000"/>
        </w:rPr>
        <w:t>‘</w:t>
      </w:r>
      <w:r w:rsidRPr="00FA1552">
        <w:rPr>
          <w:rFonts w:cs="Times New Roman"/>
          <w:color w:val="000000"/>
        </w:rPr>
        <w:t>Dealer</w:t>
      </w:r>
      <w:r w:rsidRPr="007A48C3">
        <w:rPr>
          <w:rFonts w:cs="Times New Roman"/>
          <w:color w:val="000000"/>
        </w:rPr>
        <w:t>’</w:t>
      </w:r>
      <w:r w:rsidRPr="00FA1552">
        <w:rPr>
          <w:rFonts w:cs="Times New Roman"/>
          <w:color w:val="000000"/>
        </w:rPr>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r w:rsidRPr="00FA1552">
        <w:rPr>
          <w:rFonts w:cs="Times New Roman"/>
        </w:rPr>
        <w:t>.</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A1552">
        <w:rPr>
          <w:rFonts w:cs="Times New Roman"/>
        </w:rPr>
        <w:tab/>
      </w:r>
      <w:r w:rsidRPr="00FA1552">
        <w:rPr>
          <w:rFonts w:cs="Times New Roman"/>
        </w:rPr>
        <w:tab/>
        <w:t>(3)</w:t>
      </w:r>
      <w:r w:rsidRPr="00FA1552">
        <w:rPr>
          <w:rFonts w:cs="Times New Roman"/>
        </w:rPr>
        <w:tab/>
      </w:r>
      <w:r w:rsidRPr="007A48C3">
        <w:rPr>
          <w:rFonts w:cs="Times New Roman"/>
          <w:color w:val="000000"/>
        </w:rPr>
        <w:t>‘</w:t>
      </w:r>
      <w:r w:rsidRPr="00FA1552">
        <w:rPr>
          <w:rFonts w:cs="Times New Roman"/>
          <w:color w:val="000000"/>
        </w:rPr>
        <w:t>Liquefied petroleum gas</w:t>
      </w:r>
      <w:r w:rsidRPr="007A48C3">
        <w:rPr>
          <w:rFonts w:cs="Times New Roman"/>
          <w:color w:val="000000"/>
        </w:rPr>
        <w:t>’</w:t>
      </w:r>
      <w:r w:rsidRPr="00FA1552">
        <w:rPr>
          <w:rFonts w:cs="Times New Roman"/>
          <w:color w:val="000000"/>
        </w:rPr>
        <w:t xml:space="preserve"> means material composed predominately of hydrocarbons or mixtures of hydrocarbons, including propane, propylene, butanes (normal butane or isobutane), and butylenes.</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A1552">
        <w:rPr>
          <w:rFonts w:eastAsia="Calibri" w:cs="Times New Roman"/>
        </w:rPr>
        <w:tab/>
        <w:t>(B)</w:t>
      </w:r>
      <w:r w:rsidRPr="00FA1552">
        <w:rPr>
          <w:rFonts w:eastAsia="Calibri" w:cs="Times New Roman"/>
        </w:rPr>
        <w:tab/>
        <w:t>A liquefied petroleum gas dealer shall be immune from civil liability if the proximate cause of the injury or damage was:</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A1552">
        <w:rPr>
          <w:rFonts w:eastAsia="Calibri" w:cs="Times New Roman"/>
        </w:rPr>
        <w:tab/>
      </w:r>
      <w:r w:rsidRPr="00FA1552">
        <w:rPr>
          <w:rFonts w:eastAsia="Calibri" w:cs="Times New Roman"/>
        </w:rPr>
        <w:tab/>
        <w:t>(1)</w:t>
      </w:r>
      <w:r w:rsidRPr="00FA1552">
        <w:rPr>
          <w:rFonts w:eastAsia="Calibri" w:cs="Times New Roman"/>
        </w:rPr>
        <w:tab/>
        <w:t>an alteration, modification, or repair of the liquefied petroleum gas system or gas burning appliance that could not have been discovered by the liquefied petroleum gas dealer in the exercise of reasonable care; or</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A1552">
        <w:rPr>
          <w:rFonts w:eastAsia="Calibri" w:cs="Times New Roman"/>
        </w:rPr>
        <w:tab/>
      </w:r>
      <w:r w:rsidRPr="00FA1552">
        <w:rPr>
          <w:rFonts w:eastAsia="Calibri" w:cs="Times New Roman"/>
        </w:rPr>
        <w:tab/>
        <w:t>(2)</w:t>
      </w:r>
      <w:r w:rsidRPr="00FA1552">
        <w:rPr>
          <w:rFonts w:eastAsia="Calibri" w:cs="Times New Roman"/>
        </w:rPr>
        <w:tab/>
        <w:t>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A1552">
        <w:rPr>
          <w:rFonts w:eastAsia="Calibri" w:cs="Times New Roman"/>
        </w:rPr>
        <w:tab/>
        <w:t>(C)</w:t>
      </w:r>
      <w:r w:rsidRPr="00FA1552">
        <w:rPr>
          <w:rFonts w:eastAsia="Calibri" w:cs="Times New Roman"/>
        </w:rPr>
        <w:tab/>
        <w:t>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A1552">
        <w:rPr>
          <w:rFonts w:eastAsia="Calibri" w:cs="Times New Roman"/>
        </w:rPr>
        <w:tab/>
        <w:t>(D)</w:t>
      </w:r>
      <w:r w:rsidRPr="00FA1552">
        <w:rPr>
          <w:rFonts w:eastAsia="Calibri" w:cs="Times New Roman"/>
        </w:rPr>
        <w:tab/>
        <w:t xml:space="preserve">Nothing in this subsection shall apply to </w:t>
      </w:r>
      <w:r w:rsidRPr="00FA1552">
        <w:rPr>
          <w:rFonts w:eastAsia="Times New Roman" w:cs="Times New Roman"/>
          <w:snapToGrid w:val="0"/>
          <w:szCs w:val="20"/>
        </w:rPr>
        <w:t>a cylinder exchange company as defined pursuant to Section 40</w:t>
      </w:r>
      <w:r>
        <w:rPr>
          <w:rFonts w:eastAsia="Times New Roman" w:cs="Times New Roman"/>
          <w:snapToGrid w:val="0"/>
          <w:szCs w:val="20"/>
        </w:rPr>
        <w:noBreakHyphen/>
      </w:r>
      <w:r w:rsidRPr="00FA1552">
        <w:rPr>
          <w:rFonts w:eastAsia="Times New Roman" w:cs="Times New Roman"/>
          <w:snapToGrid w:val="0"/>
          <w:szCs w:val="20"/>
        </w:rPr>
        <w:t>82</w:t>
      </w:r>
      <w:r>
        <w:rPr>
          <w:rFonts w:eastAsia="Times New Roman" w:cs="Times New Roman"/>
          <w:snapToGrid w:val="0"/>
          <w:szCs w:val="20"/>
        </w:rPr>
        <w:noBreakHyphen/>
      </w:r>
      <w:r w:rsidRPr="00FA1552">
        <w:rPr>
          <w:rFonts w:eastAsia="Times New Roman" w:cs="Times New Roman"/>
          <w:snapToGrid w:val="0"/>
          <w:szCs w:val="20"/>
        </w:rPr>
        <w:t>20(3) or a reseller as defined pursuant to Section 40</w:t>
      </w:r>
      <w:r>
        <w:rPr>
          <w:rFonts w:eastAsia="Times New Roman" w:cs="Times New Roman"/>
          <w:snapToGrid w:val="0"/>
          <w:szCs w:val="20"/>
        </w:rPr>
        <w:noBreakHyphen/>
      </w:r>
      <w:r w:rsidRPr="00FA1552">
        <w:rPr>
          <w:rFonts w:eastAsia="Times New Roman" w:cs="Times New Roman"/>
          <w:snapToGrid w:val="0"/>
          <w:szCs w:val="20"/>
        </w:rPr>
        <w:t>82</w:t>
      </w:r>
      <w:r>
        <w:rPr>
          <w:rFonts w:eastAsia="Times New Roman" w:cs="Times New Roman"/>
          <w:snapToGrid w:val="0"/>
          <w:szCs w:val="20"/>
        </w:rPr>
        <w:noBreakHyphen/>
      </w:r>
      <w:r w:rsidRPr="00FA1552">
        <w:rPr>
          <w:rFonts w:eastAsia="Times New Roman" w:cs="Times New Roman"/>
          <w:snapToGrid w:val="0"/>
          <w:szCs w:val="20"/>
        </w:rPr>
        <w:t>20(7).”</w:t>
      </w:r>
    </w:p>
    <w:p w:rsidR="00EF74E8"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F74E8" w:rsidRPr="0068540A"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Notifying propane supplier concerning certain work on system, notice to customers of statutory obligations, form of notice to customers</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A1552">
        <w:rPr>
          <w:rFonts w:eastAsia="Times New Roman" w:cs="Times New Roman"/>
          <w:snapToGrid w:val="0"/>
          <w:szCs w:val="20"/>
        </w:rPr>
        <w:t>SECTION</w:t>
      </w:r>
      <w:r w:rsidRPr="00FA1552">
        <w:rPr>
          <w:rFonts w:eastAsia="Times New Roman" w:cs="Times New Roman"/>
          <w:snapToGrid w:val="0"/>
          <w:szCs w:val="20"/>
        </w:rPr>
        <w:tab/>
        <w:t>2.</w:t>
      </w:r>
      <w:r w:rsidRPr="00FA1552">
        <w:rPr>
          <w:rFonts w:eastAsia="Times New Roman" w:cs="Times New Roman"/>
          <w:snapToGrid w:val="0"/>
          <w:szCs w:val="20"/>
        </w:rPr>
        <w:tab/>
        <w:t>Section 40</w:t>
      </w:r>
      <w:r>
        <w:rPr>
          <w:rFonts w:eastAsia="Times New Roman" w:cs="Times New Roman"/>
          <w:snapToGrid w:val="0"/>
          <w:szCs w:val="20"/>
        </w:rPr>
        <w:noBreakHyphen/>
      </w:r>
      <w:r w:rsidRPr="00FA1552">
        <w:rPr>
          <w:rFonts w:eastAsia="Times New Roman" w:cs="Times New Roman"/>
          <w:snapToGrid w:val="0"/>
          <w:szCs w:val="20"/>
        </w:rPr>
        <w:t>82</w:t>
      </w:r>
      <w:r>
        <w:rPr>
          <w:rFonts w:eastAsia="Times New Roman" w:cs="Times New Roman"/>
          <w:snapToGrid w:val="0"/>
          <w:szCs w:val="20"/>
        </w:rPr>
        <w:noBreakHyphen/>
      </w:r>
      <w:r w:rsidRPr="00FA1552">
        <w:rPr>
          <w:rFonts w:eastAsia="Times New Roman" w:cs="Times New Roman"/>
          <w:snapToGrid w:val="0"/>
          <w:szCs w:val="20"/>
        </w:rPr>
        <w:t>270 of the 1976 Code is amended to read:</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A1552">
        <w:rPr>
          <w:rFonts w:eastAsia="Times New Roman" w:cs="Times New Roman"/>
          <w:snapToGrid w:val="0"/>
          <w:szCs w:val="20"/>
        </w:rPr>
        <w:tab/>
        <w:t>“Section 40</w:t>
      </w:r>
      <w:r>
        <w:rPr>
          <w:rFonts w:eastAsia="Times New Roman" w:cs="Times New Roman"/>
          <w:snapToGrid w:val="0"/>
          <w:szCs w:val="20"/>
        </w:rPr>
        <w:noBreakHyphen/>
      </w:r>
      <w:r w:rsidRPr="00FA1552">
        <w:rPr>
          <w:rFonts w:eastAsia="Times New Roman" w:cs="Times New Roman"/>
          <w:snapToGrid w:val="0"/>
          <w:szCs w:val="20"/>
        </w:rPr>
        <w:t>82</w:t>
      </w:r>
      <w:r>
        <w:rPr>
          <w:rFonts w:eastAsia="Times New Roman" w:cs="Times New Roman"/>
          <w:snapToGrid w:val="0"/>
          <w:szCs w:val="20"/>
        </w:rPr>
        <w:noBreakHyphen/>
      </w:r>
      <w:r w:rsidRPr="00FA1552">
        <w:rPr>
          <w:rFonts w:eastAsia="Times New Roman" w:cs="Times New Roman"/>
          <w:snapToGrid w:val="0"/>
          <w:szCs w:val="20"/>
        </w:rPr>
        <w:t>270.</w:t>
      </w:r>
      <w:r w:rsidRPr="00FA1552">
        <w:rPr>
          <w:rFonts w:eastAsia="Times New Roman" w:cs="Times New Roman"/>
          <w:snapToGrid w:val="0"/>
          <w:szCs w:val="20"/>
        </w:rPr>
        <w:tab/>
        <w:t>(1)</w:t>
      </w:r>
      <w:r w:rsidRPr="00FA1552">
        <w:rPr>
          <w:rFonts w:eastAsia="Times New Roman" w:cs="Times New Roman"/>
          <w:snapToGrid w:val="0"/>
          <w:szCs w:val="20"/>
        </w:rPr>
        <w:tab/>
      </w:r>
      <w:r w:rsidRPr="00FA1552">
        <w:rPr>
          <w:rFonts w:cs="Times New Roman"/>
        </w:rPr>
        <w:t>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EF74E8"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A1552">
        <w:rPr>
          <w:rFonts w:eastAsia="Times New Roman" w:cs="Times New Roman"/>
          <w:snapToGrid w:val="0"/>
          <w:szCs w:val="20"/>
        </w:rPr>
        <w:tab/>
        <w:t>(2)</w:t>
      </w:r>
      <w:r w:rsidRPr="00FA1552">
        <w:rPr>
          <w:rFonts w:eastAsia="Times New Roman" w:cs="Times New Roman"/>
          <w:snapToGrid w:val="0"/>
          <w:szCs w:val="20"/>
        </w:rPr>
        <w:tab/>
        <w:t xml:space="preserve">Any consumer, owner, end user, or person who alters or modifies in any way his </w:t>
      </w:r>
      <w:r w:rsidRPr="00FA1552">
        <w:rPr>
          <w:rFonts w:cs="Times New Roman"/>
          <w:color w:val="000000"/>
        </w:rPr>
        <w:t>liquefied petroleum</w:t>
      </w:r>
      <w:r w:rsidRPr="00FA1552">
        <w:rPr>
          <w:rFonts w:eastAsia="Times New Roman" w:cs="Times New Roman"/>
          <w:snapToGrid w:val="0"/>
          <w:szCs w:val="20"/>
        </w:rPr>
        <w:t xml:space="preserve"> gas equipment, gas burning appliance, or system installed by a licensed dealer shall, for informational purposes, notify the licensed dealer who next fills or otherwise services his </w:t>
      </w:r>
      <w:r w:rsidRPr="00FA1552">
        <w:rPr>
          <w:rFonts w:cs="Times New Roman"/>
          <w:color w:val="000000"/>
        </w:rPr>
        <w:t>liquefied petroleum</w:t>
      </w:r>
      <w:r w:rsidRPr="00FA1552">
        <w:rPr>
          <w:rFonts w:eastAsia="Times New Roman" w:cs="Times New Roman"/>
          <w:snapToGrid w:val="0"/>
          <w:szCs w:val="20"/>
        </w:rPr>
        <w:t xml:space="preserve"> gas system that such work has been performed. </w:t>
      </w:r>
      <w:r w:rsidRPr="00FA1552">
        <w:rPr>
          <w:rFonts w:cs="Times New Roman"/>
        </w:rPr>
        <w:t>The licensed dealer shall notify their customers in writing at least once per year of the customer</w:t>
      </w:r>
      <w:r w:rsidRPr="007A48C3">
        <w:rPr>
          <w:rFonts w:cs="Times New Roman"/>
        </w:rPr>
        <w:t>’</w:t>
      </w:r>
      <w:r w:rsidRPr="00FA1552">
        <w:rPr>
          <w:rFonts w:cs="Times New Roman"/>
        </w:rPr>
        <w:t>s statutory obligation of notification in regard to modifications to their propane appliances or systems.  This notice should be provided in a separate and distinct disclosure and not a part of other safety literature given to customers.”</w:t>
      </w:r>
    </w:p>
    <w:p w:rsidR="00EF74E8"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74E8" w:rsidRPr="0068540A"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74E8" w:rsidRPr="00FA1552" w:rsidRDefault="00EF74E8"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A1552">
        <w:rPr>
          <w:rFonts w:eastAsia="Calibri" w:cs="Times New Roman"/>
        </w:rPr>
        <w:t>SECTION</w:t>
      </w:r>
      <w:r w:rsidRPr="00FA1552">
        <w:rPr>
          <w:rFonts w:eastAsia="Calibri" w:cs="Times New Roman"/>
        </w:rPr>
        <w:tab/>
        <w:t>3.</w:t>
      </w:r>
      <w:r w:rsidRPr="00FA1552">
        <w:rPr>
          <w:rFonts w:eastAsia="Calibri" w:cs="Times New Roman"/>
        </w:rPr>
        <w:tab/>
        <w:t>This act takes effect upon approval by the Governor, and applies to any cause of action arising on or after the effective date.</w:t>
      </w:r>
    </w:p>
    <w:p w:rsidR="00EF74E8" w:rsidRDefault="00EF74E8" w:rsidP="00EF74E8">
      <w:pPr>
        <w:tabs>
          <w:tab w:val="left" w:pos="1440"/>
          <w:tab w:val="left" w:pos="1800"/>
          <w:tab w:val="left" w:pos="2880"/>
        </w:tabs>
        <w:rPr>
          <w:color w:val="000000" w:themeColor="text1"/>
        </w:rPr>
      </w:pPr>
    </w:p>
    <w:p w:rsidR="00EF74E8" w:rsidRDefault="00EF74E8" w:rsidP="00EF74E8">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EF74E8" w:rsidRDefault="00EF74E8" w:rsidP="00EF74E8">
      <w:pPr>
        <w:tabs>
          <w:tab w:val="left" w:pos="1440"/>
          <w:tab w:val="left" w:pos="1800"/>
          <w:tab w:val="left" w:pos="2880"/>
        </w:tabs>
        <w:rPr>
          <w:color w:val="000000" w:themeColor="text1"/>
        </w:rPr>
      </w:pPr>
    </w:p>
    <w:p w:rsidR="00EF74E8" w:rsidRDefault="00EF74E8" w:rsidP="00EF74E8">
      <w:pPr>
        <w:tabs>
          <w:tab w:val="left" w:pos="1440"/>
          <w:tab w:val="left" w:pos="1800"/>
          <w:tab w:val="left" w:pos="2880"/>
        </w:tabs>
        <w:rPr>
          <w:color w:val="000000" w:themeColor="text1"/>
        </w:rPr>
      </w:pPr>
      <w:r>
        <w:rPr>
          <w:color w:val="000000" w:themeColor="text1"/>
        </w:rPr>
        <w:t xml:space="preserve">Became law without the signature of the Governor -- 5/13/2010. </w:t>
      </w:r>
    </w:p>
    <w:p w:rsidR="00EF74E8" w:rsidRDefault="00EF74E8" w:rsidP="00EF74E8">
      <w:pPr>
        <w:tabs>
          <w:tab w:val="left" w:pos="1440"/>
          <w:tab w:val="left" w:pos="1800"/>
          <w:tab w:val="left" w:pos="2880"/>
        </w:tabs>
        <w:jc w:val="center"/>
        <w:rPr>
          <w:color w:val="000000" w:themeColor="text1"/>
        </w:rPr>
      </w:pPr>
    </w:p>
    <w:p w:rsidR="00EF74E8" w:rsidRDefault="00EF74E8" w:rsidP="00EF74E8">
      <w:pPr>
        <w:tabs>
          <w:tab w:val="left" w:pos="1440"/>
          <w:tab w:val="left" w:pos="1800"/>
          <w:tab w:val="left" w:pos="2880"/>
        </w:tabs>
        <w:jc w:val="center"/>
        <w:rPr>
          <w:color w:val="000000" w:themeColor="text1"/>
        </w:rPr>
      </w:pPr>
      <w:r>
        <w:rPr>
          <w:color w:val="000000" w:themeColor="text1"/>
        </w:rPr>
        <w:t>__________</w:t>
      </w:r>
    </w:p>
    <w:p w:rsidR="008836A5" w:rsidRPr="00A2250D" w:rsidRDefault="008836A5" w:rsidP="00EF7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2250D" w:rsidSect="008C1FF1">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A3C" w:rsidRDefault="00E43A3C" w:rsidP="007D5FAC">
      <w:r>
        <w:separator/>
      </w:r>
    </w:p>
  </w:endnote>
  <w:endnote w:type="continuationSeparator" w:id="0">
    <w:p w:rsidR="00E43A3C" w:rsidRDefault="00E43A3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F1" w:rsidRPr="008C1FF1" w:rsidRDefault="008C1FF1" w:rsidP="008C1FF1">
    <w:pPr>
      <w:pStyle w:val="Footer"/>
      <w:tabs>
        <w:tab w:val="clear" w:pos="4680"/>
        <w:tab w:val="clear" w:pos="9360"/>
        <w:tab w:val="center" w:pos="3168"/>
      </w:tabs>
      <w:spacing w:before="120"/>
    </w:pPr>
    <w:r>
      <w:tab/>
    </w:r>
    <w:r w:rsidR="00AE1921">
      <w:fldChar w:fldCharType="begin"/>
    </w:r>
    <w:r w:rsidR="00DD67D7">
      <w:instrText xml:space="preserve"> PAGE  \* MERGEFORMAT </w:instrText>
    </w:r>
    <w:r w:rsidR="00AE1921">
      <w:fldChar w:fldCharType="separate"/>
    </w:r>
    <w:r w:rsidR="00EF74E8">
      <w:rPr>
        <w:noProof/>
      </w:rPr>
      <w:t>3</w:t>
    </w:r>
    <w:r w:rsidR="00AE192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F1" w:rsidRDefault="008C1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A3C" w:rsidRDefault="00E43A3C" w:rsidP="007D5FAC">
      <w:r>
        <w:separator/>
      </w:r>
    </w:p>
  </w:footnote>
  <w:footnote w:type="continuationSeparator" w:id="0">
    <w:p w:rsidR="00E43A3C" w:rsidRDefault="00E43A3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96"/>
    <w:docVar w:name="ActSecretary" w:val="Morgan"/>
    <w:docVar w:name="ActSIdno" w:val="(371)  196AB10"/>
    <w:docVar w:name="clipname" w:val="196AB10"/>
    <w:docVar w:name="dvBillNumber" w:val="196"/>
    <w:docVar w:name="dvBillNumberPrefix" w:val="S"/>
    <w:docVar w:name="dvOriginalBody" w:val="Senate"/>
    <w:docVar w:name="OrigSENATEBillNo" w:val="196"/>
    <w:docVar w:name="SENATEACTFULLPATH" w:val="L:\COUNCIL\ACTS\196AB10.DOCX"/>
    <w:docVar w:name="WhatActtype" w:val="AN ACT"/>
  </w:docVars>
  <w:rsids>
    <w:rsidRoot w:val="008B292C"/>
    <w:rsid w:val="00002DE0"/>
    <w:rsid w:val="00020349"/>
    <w:rsid w:val="00021B0B"/>
    <w:rsid w:val="00030487"/>
    <w:rsid w:val="0003599A"/>
    <w:rsid w:val="00040C05"/>
    <w:rsid w:val="0004579B"/>
    <w:rsid w:val="00045CB7"/>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97D9E"/>
    <w:rsid w:val="000A6151"/>
    <w:rsid w:val="000A6BCA"/>
    <w:rsid w:val="000B03AD"/>
    <w:rsid w:val="000B316D"/>
    <w:rsid w:val="000B56CB"/>
    <w:rsid w:val="000C3B02"/>
    <w:rsid w:val="000D356E"/>
    <w:rsid w:val="000D6F51"/>
    <w:rsid w:val="001030FE"/>
    <w:rsid w:val="001031AE"/>
    <w:rsid w:val="00103295"/>
    <w:rsid w:val="00103D2E"/>
    <w:rsid w:val="00104519"/>
    <w:rsid w:val="00106968"/>
    <w:rsid w:val="00114830"/>
    <w:rsid w:val="00114E88"/>
    <w:rsid w:val="00114EC7"/>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65B6"/>
    <w:rsid w:val="001B78F9"/>
    <w:rsid w:val="001B7FF5"/>
    <w:rsid w:val="001C390F"/>
    <w:rsid w:val="001C50A7"/>
    <w:rsid w:val="001C6957"/>
    <w:rsid w:val="001C7146"/>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1917"/>
    <w:rsid w:val="00254411"/>
    <w:rsid w:val="00257ACD"/>
    <w:rsid w:val="00261A36"/>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333B"/>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6399"/>
    <w:rsid w:val="00400828"/>
    <w:rsid w:val="00406E30"/>
    <w:rsid w:val="00412B47"/>
    <w:rsid w:val="00414C2A"/>
    <w:rsid w:val="004157C4"/>
    <w:rsid w:val="0041760A"/>
    <w:rsid w:val="00417A9C"/>
    <w:rsid w:val="004203D3"/>
    <w:rsid w:val="00423310"/>
    <w:rsid w:val="00427BCB"/>
    <w:rsid w:val="00430DA3"/>
    <w:rsid w:val="00432E09"/>
    <w:rsid w:val="00435D03"/>
    <w:rsid w:val="004374A9"/>
    <w:rsid w:val="00442137"/>
    <w:rsid w:val="004440DE"/>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B66"/>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45F0"/>
    <w:rsid w:val="0063724D"/>
    <w:rsid w:val="0064018A"/>
    <w:rsid w:val="00641A70"/>
    <w:rsid w:val="00643998"/>
    <w:rsid w:val="00655550"/>
    <w:rsid w:val="00657AB1"/>
    <w:rsid w:val="00663AC3"/>
    <w:rsid w:val="00672966"/>
    <w:rsid w:val="006750A0"/>
    <w:rsid w:val="0068540A"/>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48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44FCF"/>
    <w:rsid w:val="00855672"/>
    <w:rsid w:val="00860CD2"/>
    <w:rsid w:val="00865315"/>
    <w:rsid w:val="00865A3F"/>
    <w:rsid w:val="008674BA"/>
    <w:rsid w:val="00870435"/>
    <w:rsid w:val="008733F2"/>
    <w:rsid w:val="008746A0"/>
    <w:rsid w:val="00875B4B"/>
    <w:rsid w:val="008836A5"/>
    <w:rsid w:val="0088506F"/>
    <w:rsid w:val="00892AF7"/>
    <w:rsid w:val="008B2051"/>
    <w:rsid w:val="008B292C"/>
    <w:rsid w:val="008B48BD"/>
    <w:rsid w:val="008C1FF1"/>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2ABD"/>
    <w:rsid w:val="0097332E"/>
    <w:rsid w:val="00974FD7"/>
    <w:rsid w:val="00980444"/>
    <w:rsid w:val="00982E93"/>
    <w:rsid w:val="00997D30"/>
    <w:rsid w:val="009A31B6"/>
    <w:rsid w:val="009B0FA5"/>
    <w:rsid w:val="009B6EA6"/>
    <w:rsid w:val="009B7609"/>
    <w:rsid w:val="009C170D"/>
    <w:rsid w:val="009D0B32"/>
    <w:rsid w:val="009D75E7"/>
    <w:rsid w:val="009F42DA"/>
    <w:rsid w:val="00A03978"/>
    <w:rsid w:val="00A050C0"/>
    <w:rsid w:val="00A062DB"/>
    <w:rsid w:val="00A14F94"/>
    <w:rsid w:val="00A2250D"/>
    <w:rsid w:val="00A22884"/>
    <w:rsid w:val="00A23CED"/>
    <w:rsid w:val="00A25E64"/>
    <w:rsid w:val="00A26387"/>
    <w:rsid w:val="00A3022E"/>
    <w:rsid w:val="00A37AD2"/>
    <w:rsid w:val="00A450A2"/>
    <w:rsid w:val="00A46627"/>
    <w:rsid w:val="00A475E8"/>
    <w:rsid w:val="00A61397"/>
    <w:rsid w:val="00A62F8F"/>
    <w:rsid w:val="00A64E80"/>
    <w:rsid w:val="00A73974"/>
    <w:rsid w:val="00A74007"/>
    <w:rsid w:val="00A80935"/>
    <w:rsid w:val="00A96A62"/>
    <w:rsid w:val="00A9741D"/>
    <w:rsid w:val="00A9744F"/>
    <w:rsid w:val="00AA00C6"/>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1921"/>
    <w:rsid w:val="00AE42DA"/>
    <w:rsid w:val="00AE4DFB"/>
    <w:rsid w:val="00AF08CD"/>
    <w:rsid w:val="00AF2080"/>
    <w:rsid w:val="00AF3196"/>
    <w:rsid w:val="00AF3FED"/>
    <w:rsid w:val="00AF7929"/>
    <w:rsid w:val="00AF7A83"/>
    <w:rsid w:val="00B010E0"/>
    <w:rsid w:val="00B11270"/>
    <w:rsid w:val="00B25209"/>
    <w:rsid w:val="00B303AC"/>
    <w:rsid w:val="00B374C4"/>
    <w:rsid w:val="00B408FD"/>
    <w:rsid w:val="00B4797F"/>
    <w:rsid w:val="00B516BA"/>
    <w:rsid w:val="00B520A2"/>
    <w:rsid w:val="00B62CAB"/>
    <w:rsid w:val="00B72ED3"/>
    <w:rsid w:val="00B73571"/>
    <w:rsid w:val="00B74177"/>
    <w:rsid w:val="00B83DA1"/>
    <w:rsid w:val="00B846E9"/>
    <w:rsid w:val="00B93FBD"/>
    <w:rsid w:val="00BB1593"/>
    <w:rsid w:val="00BB43F6"/>
    <w:rsid w:val="00BB7B1B"/>
    <w:rsid w:val="00BC0EB6"/>
    <w:rsid w:val="00BC5FF9"/>
    <w:rsid w:val="00BE36EB"/>
    <w:rsid w:val="00BE41F8"/>
    <w:rsid w:val="00BF0E46"/>
    <w:rsid w:val="00BF1B60"/>
    <w:rsid w:val="00BF2034"/>
    <w:rsid w:val="00BF33CD"/>
    <w:rsid w:val="00BF352D"/>
    <w:rsid w:val="00BF6E92"/>
    <w:rsid w:val="00C0158B"/>
    <w:rsid w:val="00C02F6F"/>
    <w:rsid w:val="00C03629"/>
    <w:rsid w:val="00C04FCB"/>
    <w:rsid w:val="00C06FF3"/>
    <w:rsid w:val="00C1172C"/>
    <w:rsid w:val="00C1173A"/>
    <w:rsid w:val="00C15148"/>
    <w:rsid w:val="00C216F6"/>
    <w:rsid w:val="00C2227D"/>
    <w:rsid w:val="00C230AF"/>
    <w:rsid w:val="00C2381B"/>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96B"/>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5AE6"/>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67D7"/>
    <w:rsid w:val="00DF0E69"/>
    <w:rsid w:val="00E00FC9"/>
    <w:rsid w:val="00E02CA8"/>
    <w:rsid w:val="00E076BB"/>
    <w:rsid w:val="00E14905"/>
    <w:rsid w:val="00E3356F"/>
    <w:rsid w:val="00E33964"/>
    <w:rsid w:val="00E3462F"/>
    <w:rsid w:val="00E36231"/>
    <w:rsid w:val="00E43A3C"/>
    <w:rsid w:val="00E500F1"/>
    <w:rsid w:val="00E5358E"/>
    <w:rsid w:val="00E5665F"/>
    <w:rsid w:val="00E60357"/>
    <w:rsid w:val="00E61B4C"/>
    <w:rsid w:val="00E71D4E"/>
    <w:rsid w:val="00E757F4"/>
    <w:rsid w:val="00E9303D"/>
    <w:rsid w:val="00E93D86"/>
    <w:rsid w:val="00EA2A3A"/>
    <w:rsid w:val="00EA77B0"/>
    <w:rsid w:val="00EB223A"/>
    <w:rsid w:val="00EC47CE"/>
    <w:rsid w:val="00ED4871"/>
    <w:rsid w:val="00EE663F"/>
    <w:rsid w:val="00EF0E4A"/>
    <w:rsid w:val="00EF3301"/>
    <w:rsid w:val="00EF6923"/>
    <w:rsid w:val="00EF74E8"/>
    <w:rsid w:val="00F035BD"/>
    <w:rsid w:val="00F05E09"/>
    <w:rsid w:val="00F07446"/>
    <w:rsid w:val="00F07D12"/>
    <w:rsid w:val="00F10FAC"/>
    <w:rsid w:val="00F16F4D"/>
    <w:rsid w:val="00F178BC"/>
    <w:rsid w:val="00F21DD7"/>
    <w:rsid w:val="00F24361"/>
    <w:rsid w:val="00F25311"/>
    <w:rsid w:val="00F278CD"/>
    <w:rsid w:val="00F30AAF"/>
    <w:rsid w:val="00F310E4"/>
    <w:rsid w:val="00F348D3"/>
    <w:rsid w:val="00F34BF1"/>
    <w:rsid w:val="00F3642A"/>
    <w:rsid w:val="00F4208C"/>
    <w:rsid w:val="00F432E0"/>
    <w:rsid w:val="00F44E35"/>
    <w:rsid w:val="00F463B6"/>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1566"/>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F26221A5-B937-491A-B91F-4D5809D1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C1F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3599A"/>
    <w:rPr>
      <w:rFonts w:ascii="Tahoma" w:hAnsi="Tahoma" w:cs="Tahoma"/>
      <w:sz w:val="16"/>
      <w:szCs w:val="16"/>
    </w:rPr>
  </w:style>
  <w:style w:type="character" w:customStyle="1" w:styleId="BalloonTextChar">
    <w:name w:val="Balloon Text Char"/>
    <w:basedOn w:val="DefaultParagraphFont"/>
    <w:link w:val="BalloonText"/>
    <w:uiPriority w:val="99"/>
    <w:semiHidden/>
    <w:rsid w:val="0003599A"/>
    <w:rPr>
      <w:rFonts w:ascii="Tahoma" w:hAnsi="Tahoma" w:cs="Tahoma"/>
      <w:sz w:val="16"/>
      <w:szCs w:val="16"/>
    </w:rPr>
  </w:style>
  <w:style w:type="table" w:styleId="TableGrid">
    <w:name w:val="Table Grid"/>
    <w:basedOn w:val="TableNormal"/>
    <w:uiPriority w:val="59"/>
    <w:rsid w:val="00595B6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C1FF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C3B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2088">
      <w:bodyDiv w:val="1"/>
      <w:marLeft w:val="0"/>
      <w:marRight w:val="0"/>
      <w:marTop w:val="0"/>
      <w:marBottom w:val="0"/>
      <w:divBdr>
        <w:top w:val="none" w:sz="0" w:space="0" w:color="auto"/>
        <w:left w:val="none" w:sz="0" w:space="0" w:color="auto"/>
        <w:bottom w:val="none" w:sz="0" w:space="0" w:color="auto"/>
        <w:right w:val="none" w:sz="0" w:space="0" w:color="auto"/>
      </w:divBdr>
    </w:div>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02-09.docx" TargetMode="External"/><Relationship Id="rId13" Type="http://schemas.openxmlformats.org/officeDocument/2006/relationships/hyperlink" Target="file:///h:\HJ%20Archive\2009\04-22-09.docx" TargetMode="External"/><Relationship Id="rId18" Type="http://schemas.openxmlformats.org/officeDocument/2006/relationships/hyperlink" Target="file:///p:\pprever\2009-10\196_20081217.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196_20090415.docx" TargetMode="External"/><Relationship Id="rId7" Type="http://schemas.openxmlformats.org/officeDocument/2006/relationships/hyperlink" Target="file:///h:\SJ%20Archive\2009\01-13-09.docx" TargetMode="External"/><Relationship Id="rId12" Type="http://schemas.openxmlformats.org/officeDocument/2006/relationships/hyperlink" Target="file:///h:\SJ%20Archive\2009\04-21-09.docx" TargetMode="External"/><Relationship Id="rId17" Type="http://schemas.openxmlformats.org/officeDocument/2006/relationships/hyperlink" Target="file:///h:\HJ%20Archive\2010\04-21-10.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4-20-10.docx" TargetMode="External"/><Relationship Id="rId20" Type="http://schemas.openxmlformats.org/officeDocument/2006/relationships/hyperlink" Target="file:///p:\pprever\2009-10\196_20090406.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4-15-09.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3-24-10.docx" TargetMode="External"/><Relationship Id="rId23" Type="http://schemas.openxmlformats.org/officeDocument/2006/relationships/hyperlink" Target="file:///p:\pprever\2009-10\196_20100324.docx" TargetMode="External"/><Relationship Id="rId10" Type="http://schemas.openxmlformats.org/officeDocument/2006/relationships/hyperlink" Target="file:///h:\SJ%20Archive\2009\04-15-09.docx" TargetMode="External"/><Relationship Id="rId19" Type="http://schemas.openxmlformats.org/officeDocument/2006/relationships/hyperlink" Target="file:///p:\pprever\2009-10\196_20090402.docx" TargetMode="External"/><Relationship Id="rId4" Type="http://schemas.openxmlformats.org/officeDocument/2006/relationships/footnotes" Target="footnotes.xml"/><Relationship Id="rId9" Type="http://schemas.openxmlformats.org/officeDocument/2006/relationships/hyperlink" Target="file:///h:\SJ%20Archive\2009\04-02-09.docx" TargetMode="External"/><Relationship Id="rId14" Type="http://schemas.openxmlformats.org/officeDocument/2006/relationships/hyperlink" Target="file:///h:\HJ%20Archive\2009\04-22-09.docx" TargetMode="External"/><Relationship Id="rId22" Type="http://schemas.openxmlformats.org/officeDocument/2006/relationships/hyperlink" Target="file:///p:\pprever\2009-10\196_2009041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1045</Words>
  <Characters>5796</Characters>
  <Application>Microsoft Office Word</Application>
  <DocSecurity>0</DocSecurity>
  <Lines>166</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196: Gas - South Carolina Legislature Online</dc:title>
  <dc:subject/>
  <dc:creator>AngieMorgan</dc:creator>
  <cp:keywords/>
  <dc:description/>
  <cp:lastModifiedBy>N Cumfer</cp:lastModifiedBy>
  <cp:revision>5</cp:revision>
  <cp:lastPrinted>2010-04-22T20:15:00Z</cp:lastPrinted>
  <dcterms:created xsi:type="dcterms:W3CDTF">2010-07-21T16:24:00Z</dcterms:created>
  <dcterms:modified xsi:type="dcterms:W3CDTF">2014-11-24T14:55:00Z</dcterms:modified>
</cp:coreProperties>
</file>