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527D9A" w:rsidRDefault="00527D9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220</w:t>
      </w:r>
    </w:p>
    <w:p w:rsidR="00527D9A" w:rsidRDefault="00527D9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527D9A" w:rsidRDefault="00527D9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527D9A" w:rsidRDefault="006115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Senators Grooms, Rose and Davis</w:t>
      </w:r>
    </w:p>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l:\council\bills\nbd\11081ac09.docx</w:t>
      </w:r>
    </w:p>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Companion/Similar bill(s): 232</w:t>
      </w:r>
    </w:p>
    <w:p w:rsidR="00527D9A" w:rsidRDefault="00527D9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Agriculture and Natural Resources</w:t>
      </w:r>
    </w:p>
    <w:p w:rsidR="00527D9A" w:rsidRDefault="00527D9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State energy policy</w:t>
      </w:r>
    </w:p>
    <w:p w:rsidR="00527D9A" w:rsidRDefault="00527D9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27D9A" w:rsidRDefault="00527D9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27D9A" w:rsidRDefault="00C471D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27D9A" w:rsidRDefault="00527D9A">
      <w:pPr>
        <w:widowControl w:val="0"/>
        <w:tabs>
          <w:tab w:val="center" w:pos="590"/>
          <w:tab w:val="center" w:pos="1440"/>
          <w:tab w:val="left" w:pos="1872"/>
          <w:tab w:val="left" w:pos="9187"/>
        </w:tabs>
        <w:jc w:val="left"/>
        <w:rPr>
          <w:rFonts w:cs="Times New Roman"/>
        </w:rPr>
      </w:pPr>
    </w:p>
    <w:p w:rsidR="00527D9A" w:rsidRDefault="00C471D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27D9A" w:rsidRDefault="00C471D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527D9A" w:rsidRDefault="00C471D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Agriculture and Natural Resources</w:t>
      </w:r>
    </w:p>
    <w:p w:rsidR="00527D9A" w:rsidRDefault="00C471D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13F6F">
          <w:rPr>
            <w:rStyle w:val="Hyperlink"/>
            <w:rFonts w:cs="Times New Roman"/>
          </w:rPr>
          <w:t>SJ</w:t>
        </w:r>
      </w:hyperlink>
      <w:r>
        <w:rPr>
          <w:rFonts w:cs="Times New Roman"/>
        </w:rPr>
        <w:noBreakHyphen/>
        <w:t>183</w:t>
      </w:r>
    </w:p>
    <w:p w:rsidR="00527D9A" w:rsidRDefault="00C471D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Agriculture and Natural Resources</w:t>
      </w:r>
      <w:r>
        <w:rPr>
          <w:rFonts w:cs="Times New Roman"/>
        </w:rPr>
        <w:t xml:space="preserve"> </w:t>
      </w:r>
      <w:hyperlink r:id="rId7" w:history="1">
        <w:r w:rsidRPr="00713F6F">
          <w:rPr>
            <w:rStyle w:val="Hyperlink"/>
            <w:rFonts w:cs="Times New Roman"/>
          </w:rPr>
          <w:t>SJ</w:t>
        </w:r>
      </w:hyperlink>
      <w:r>
        <w:rPr>
          <w:rFonts w:cs="Times New Roman"/>
        </w:rPr>
        <w:noBreakHyphen/>
        <w:t>183</w:t>
      </w:r>
    </w:p>
    <w:p w:rsidR="00527D9A" w:rsidRDefault="00527D9A">
      <w:pPr>
        <w:widowControl w:val="0"/>
        <w:tabs>
          <w:tab w:val="right" w:pos="1008"/>
          <w:tab w:val="left" w:pos="1152"/>
          <w:tab w:val="left" w:pos="1872"/>
          <w:tab w:val="left" w:pos="9187"/>
        </w:tabs>
        <w:ind w:left="2088" w:hanging="2088"/>
        <w:jc w:val="left"/>
        <w:rPr>
          <w:rFonts w:cs="Times New Roman"/>
        </w:rPr>
      </w:pPr>
    </w:p>
    <w:p w:rsidR="00527D9A" w:rsidRDefault="00527D9A">
      <w:pPr>
        <w:widowControl w:val="0"/>
        <w:tabs>
          <w:tab w:val="right" w:pos="1008"/>
          <w:tab w:val="left" w:pos="1152"/>
          <w:tab w:val="left" w:pos="1872"/>
          <w:tab w:val="left" w:pos="9187"/>
        </w:tabs>
        <w:ind w:left="2088" w:hanging="2088"/>
        <w:jc w:val="left"/>
        <w:rPr>
          <w:rFonts w:cs="Times New Roman"/>
        </w:rPr>
      </w:pPr>
    </w:p>
    <w:p w:rsidR="00527D9A" w:rsidRDefault="00C471D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527D9A" w:rsidRDefault="00527D9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27D9A" w:rsidRDefault="002E18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C471DD">
          <w:rPr>
            <w:rStyle w:val="Hyperlink"/>
            <w:rFonts w:cs="Times New Roman"/>
          </w:rPr>
          <w:t>12/17/2008</w:t>
        </w:r>
      </w:hyperlink>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27D9A">
          <w:pgSz w:w="12240" w:h="15840" w:code="1"/>
          <w:pgMar w:top="1080" w:right="1440" w:bottom="1080" w:left="1440" w:header="720" w:footer="720" w:gutter="0"/>
          <w:cols w:space="720"/>
          <w:noEndnote/>
          <w:docGrid w:linePitch="360"/>
        </w:sectPr>
      </w:pP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48</w:t>
      </w:r>
      <w:r>
        <w:rPr>
          <w:rFonts w:eastAsia="Times New Roman" w:cs="Times New Roman"/>
          <w:szCs w:val="20"/>
        </w:rPr>
        <w:noBreakHyphen/>
        <w:t>52</w:t>
      </w:r>
      <w:r>
        <w:rPr>
          <w:rFonts w:eastAsia="Times New Roman" w:cs="Times New Roman"/>
          <w:szCs w:val="20"/>
        </w:rPr>
        <w:noBreakHyphen/>
        <w:t>210 AND 48</w:t>
      </w:r>
      <w:r>
        <w:rPr>
          <w:rFonts w:eastAsia="Times New Roman" w:cs="Times New Roman"/>
          <w:szCs w:val="20"/>
        </w:rPr>
        <w:noBreakHyphen/>
        <w:t>52</w:t>
      </w:r>
      <w:r>
        <w:rPr>
          <w:rFonts w:eastAsia="Times New Roman" w:cs="Times New Roman"/>
          <w:szCs w:val="20"/>
        </w:rPr>
        <w:noBreakHyphen/>
        <w:t>420, CODE OF LAWS OF SOUTH CAROLINA, 1976, BOTH RELATING TO THE STATE ENERGY POLICY, SO AS TO ENCOURAGE THE USE OF NUCLEAR ENERGY AND TO ENSURE THAT ANY STATE ENERGY STRATEGY THAT PROMOTES CARBON</w:t>
      </w:r>
      <w:r>
        <w:rPr>
          <w:rFonts w:eastAsia="Times New Roman" w:cs="Times New Roman"/>
          <w:szCs w:val="20"/>
        </w:rPr>
        <w:noBreakHyphen/>
        <w:t>FREE, NONGREENHOUSE GAS EMITTING SOURCES INCLUDES NUCLEAR ENERGY AND RENEWABLE ENERGY RESOURCES; AND BY ADDING SECTION 48</w:t>
      </w:r>
      <w:r>
        <w:rPr>
          <w:rFonts w:eastAsia="Times New Roman" w:cs="Times New Roman"/>
          <w:szCs w:val="20"/>
        </w:rPr>
        <w:noBreakHyphen/>
        <w:t>52</w:t>
      </w:r>
      <w:r>
        <w:rPr>
          <w:rFonts w:eastAsia="Times New Roman" w:cs="Times New Roman"/>
          <w:szCs w:val="20"/>
        </w:rPr>
        <w:noBreakHyphen/>
        <w:t>215 TO DEFINE “RENEWABLE ENERGY RESOURCES” FOR PURPOSES OF THE SOUTH CAROLINA ENERGY EFFICIENCY ACT.</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48</w:t>
      </w:r>
      <w:r>
        <w:rPr>
          <w:rFonts w:eastAsia="Times New Roman" w:cs="Times New Roman"/>
          <w:szCs w:val="20"/>
        </w:rPr>
        <w:noBreakHyphen/>
        <w:t>52</w:t>
      </w:r>
      <w:r>
        <w:rPr>
          <w:rFonts w:eastAsia="Times New Roman" w:cs="Times New Roman"/>
          <w:szCs w:val="20"/>
        </w:rPr>
        <w:noBreakHyphen/>
        <w:t>210(B)(4) of the 1976 Code is amended to read:</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encourage the development and use of </w:t>
      </w:r>
      <w:r>
        <w:rPr>
          <w:rFonts w:eastAsia="Times New Roman" w:cs="Times New Roman"/>
          <w:szCs w:val="20"/>
          <w:u w:val="single"/>
        </w:rPr>
        <w:t>nuclear energy and</w:t>
      </w:r>
      <w:r>
        <w:rPr>
          <w:rFonts w:eastAsia="Times New Roman" w:cs="Times New Roman"/>
          <w:szCs w:val="20"/>
        </w:rPr>
        <w:t xml:space="preserve"> indigenous, renewable energy resources;”</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48</w:t>
      </w:r>
      <w:r>
        <w:rPr>
          <w:rFonts w:eastAsia="Times New Roman" w:cs="Times New Roman"/>
          <w:szCs w:val="20"/>
        </w:rPr>
        <w:noBreakHyphen/>
        <w:t>52</w:t>
      </w:r>
      <w:r>
        <w:rPr>
          <w:rFonts w:eastAsia="Times New Roman" w:cs="Times New Roman"/>
          <w:szCs w:val="20"/>
        </w:rPr>
        <w:noBreakHyphen/>
        <w:t>210(B) of the 1976 Code is amended by adding at the end:</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ensure that any future energy strategy that promotes carbon</w:t>
      </w:r>
      <w:r>
        <w:rPr>
          <w:rFonts w:eastAsia="Times New Roman" w:cs="Times New Roman"/>
          <w:szCs w:val="20"/>
        </w:rPr>
        <w:noBreakHyphen/>
        <w:t>free, nongreenhouse gas emitting sources includes nuclear energy and renewable energy resources.”</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48</w:t>
      </w:r>
      <w:r>
        <w:rPr>
          <w:rFonts w:eastAsia="Times New Roman" w:cs="Times New Roman"/>
          <w:szCs w:val="20"/>
        </w:rPr>
        <w:noBreakHyphen/>
        <w:t>52</w:t>
      </w:r>
      <w:r>
        <w:rPr>
          <w:rFonts w:eastAsia="Times New Roman" w:cs="Times New Roman"/>
          <w:szCs w:val="20"/>
        </w:rPr>
        <w:noBreakHyphen/>
        <w:t>420 of the 1976 Code is amended by adding at the end:</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“(12)</w:t>
      </w:r>
      <w:r>
        <w:rPr>
          <w:rFonts w:eastAsia="Times New Roman" w:cs="Times New Roman"/>
          <w:szCs w:val="20"/>
        </w:rPr>
        <w:tab/>
        <w:t>ensure that any future energy strategy that promotes carbon</w:t>
      </w:r>
      <w:r>
        <w:rPr>
          <w:rFonts w:eastAsia="Times New Roman" w:cs="Times New Roman"/>
          <w:szCs w:val="20"/>
        </w:rPr>
        <w:noBreakHyphen/>
        <w:t>free, nongreenhouse gas emitting sources includes nuclear energy and renewable energy resources.”</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Article 2, Chapter 52, Title 48 of the 1976 Code is amended by adding:</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48</w:t>
      </w:r>
      <w:r>
        <w:rPr>
          <w:rFonts w:eastAsia="Times New Roman" w:cs="Times New Roman"/>
          <w:szCs w:val="20"/>
        </w:rPr>
        <w:noBreakHyphen/>
        <w:t>52</w:t>
      </w:r>
      <w:r>
        <w:rPr>
          <w:rFonts w:eastAsia="Times New Roman" w:cs="Times New Roman"/>
          <w:szCs w:val="20"/>
        </w:rPr>
        <w:noBreakHyphen/>
        <w:t>215.</w:t>
      </w:r>
      <w:r>
        <w:rPr>
          <w:rFonts w:eastAsia="Times New Roman" w:cs="Times New Roman"/>
          <w:szCs w:val="20"/>
        </w:rPr>
        <w:tab/>
        <w:t>For purposes of this chapter, ‘renewable energy resources’ means solar photovoltaic energy, solar thermal energy, wind power, hydroelectric, geothermal energy, tidal energy, recycling, hydrogen fuel derived from renewable resources, biomass energy, and landfill gas.”</w:t>
      </w:r>
    </w:p>
    <w:p w:rsidR="00527D9A" w:rsidRDefault="0052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527D9A" w:rsidRDefault="00C47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27D9A" w:rsidSect="00527D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D9A" w:rsidRDefault="00C471DD">
      <w:r>
        <w:separator/>
      </w:r>
    </w:p>
  </w:endnote>
  <w:endnote w:type="continuationSeparator" w:id="0">
    <w:p w:rsidR="00527D9A" w:rsidRDefault="00C4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548C6E-2205-4196-BEC7-ECB0228A118D}"/>
    <w:embedBold r:id="rId2" w:fontKey="{3D4548BB-873B-4978-81B7-256538E7837E}"/>
  </w:font>
  <w:font w:name="Calibri">
    <w:panose1 w:val="020F0502020204030204"/>
    <w:charset w:val="00"/>
    <w:family w:val="swiss"/>
    <w:pitch w:val="variable"/>
    <w:sig w:usb0="E10002FF" w:usb1="4000ACFF" w:usb2="00000009" w:usb3="00000000" w:csb0="0000019F" w:csb1="00000000"/>
    <w:embedRegular r:id="rId3" w:fontKey="{92AC17A9-19F8-42A4-BEB5-A7AE6E81E5C2}"/>
    <w:embedBold r:id="rId4" w:fontKey="{86B48FEB-093A-4913-BC6F-D928F26EC062}"/>
  </w:font>
  <w:font w:name="Tahoma">
    <w:panose1 w:val="020B0604030504040204"/>
    <w:charset w:val="00"/>
    <w:family w:val="swiss"/>
    <w:pitch w:val="variable"/>
    <w:sig w:usb0="21002A87" w:usb1="80000000" w:usb2="00000008" w:usb3="00000000" w:csb0="000101FF" w:csb1="00000000"/>
    <w:embedRegular r:id="rId5" w:fontKey="{74D36724-F676-41F0-8971-C21BB947926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3F9E9E4-C061-492D-AC46-3B71D6F4B3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D9A" w:rsidRDefault="00C471DD">
    <w:pPr>
      <w:pStyle w:val="Footer"/>
      <w:tabs>
        <w:tab w:val="clear" w:pos="4680"/>
        <w:tab w:val="clear" w:pos="9360"/>
        <w:tab w:val="center" w:pos="2995"/>
      </w:tabs>
      <w:spacing w:before="120"/>
    </w:pPr>
    <w:r>
      <w:t>[220]</w:t>
    </w:r>
    <w:r>
      <w:tab/>
    </w:r>
    <w:r w:rsidR="002E18DA">
      <w:fldChar w:fldCharType="begin"/>
    </w:r>
    <w:r w:rsidR="002E18DA">
      <w:instrText xml:space="preserve"> PAGE  \* MERGEFORMAT </w:instrText>
    </w:r>
    <w:r w:rsidR="002E18DA">
      <w:fldChar w:fldCharType="separate"/>
    </w:r>
    <w:r w:rsidR="002E18DA">
      <w:rPr>
        <w:noProof/>
      </w:rPr>
      <w:t>1</w:t>
    </w:r>
    <w:r w:rsidR="002E18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D9A" w:rsidRDefault="00C471DD">
      <w:r>
        <w:separator/>
      </w:r>
    </w:p>
  </w:footnote>
  <w:footnote w:type="continuationSeparator" w:id="0">
    <w:p w:rsidR="00527D9A" w:rsidRDefault="00C471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27D9A"/>
    <w:rsid w:val="002E18DA"/>
    <w:rsid w:val="00527D9A"/>
    <w:rsid w:val="0061153E"/>
    <w:rsid w:val="00713F6F"/>
    <w:rsid w:val="009D7109"/>
    <w:rsid w:val="00A50634"/>
    <w:rsid w:val="00B877D1"/>
    <w:rsid w:val="00C471DD"/>
    <w:rsid w:val="00F83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E07608-84D0-4C46-8ADF-991E7C913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D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27D9A"/>
    <w:rPr>
      <w:szCs w:val="21"/>
    </w:rPr>
  </w:style>
  <w:style w:type="character" w:customStyle="1" w:styleId="PlainTextChar">
    <w:name w:val="Plain Text Char"/>
    <w:basedOn w:val="DefaultParagraphFont"/>
    <w:link w:val="PlainText"/>
    <w:uiPriority w:val="99"/>
    <w:rsid w:val="00527D9A"/>
    <w:rPr>
      <w:szCs w:val="21"/>
    </w:rPr>
  </w:style>
  <w:style w:type="paragraph" w:styleId="BodyText">
    <w:name w:val="Body Text"/>
    <w:basedOn w:val="Normal"/>
    <w:link w:val="BodyTextChar"/>
    <w:uiPriority w:val="99"/>
    <w:locked/>
    <w:rsid w:val="00527D9A"/>
  </w:style>
  <w:style w:type="character" w:customStyle="1" w:styleId="BodyTextChar">
    <w:name w:val="Body Text Char"/>
    <w:basedOn w:val="DefaultParagraphFont"/>
    <w:link w:val="BodyText"/>
    <w:uiPriority w:val="99"/>
    <w:rsid w:val="00527D9A"/>
  </w:style>
  <w:style w:type="paragraph" w:styleId="BalloonText">
    <w:name w:val="Balloon Text"/>
    <w:next w:val="Normal"/>
    <w:link w:val="BalloonTextChar"/>
    <w:uiPriority w:val="99"/>
    <w:unhideWhenUsed/>
    <w:rsid w:val="00527D9A"/>
    <w:rPr>
      <w:rFonts w:cs="Tahoma"/>
      <w:szCs w:val="16"/>
    </w:rPr>
  </w:style>
  <w:style w:type="character" w:customStyle="1" w:styleId="BalloonTextChar">
    <w:name w:val="Balloon Text Char"/>
    <w:basedOn w:val="DefaultParagraphFont"/>
    <w:link w:val="BalloonText"/>
    <w:uiPriority w:val="99"/>
    <w:rsid w:val="00527D9A"/>
    <w:rPr>
      <w:rFonts w:cs="Tahoma"/>
      <w:szCs w:val="16"/>
    </w:rPr>
  </w:style>
  <w:style w:type="paragraph" w:styleId="NormalWeb">
    <w:name w:val="Normal (Web)"/>
    <w:basedOn w:val="Normal"/>
    <w:next w:val="Normal"/>
    <w:semiHidden/>
    <w:locked/>
    <w:rsid w:val="00527D9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27D9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27D9A"/>
    <w:rPr>
      <w:rFonts w:eastAsia="Times New Roman" w:cs="Times New Roman"/>
      <w:szCs w:val="20"/>
    </w:rPr>
  </w:style>
  <w:style w:type="paragraph" w:styleId="Header">
    <w:name w:val="header"/>
    <w:basedOn w:val="Normal"/>
    <w:link w:val="HeaderChar"/>
    <w:uiPriority w:val="99"/>
    <w:semiHidden/>
    <w:unhideWhenUsed/>
    <w:locked/>
    <w:rsid w:val="00527D9A"/>
    <w:pPr>
      <w:tabs>
        <w:tab w:val="center" w:pos="4680"/>
        <w:tab w:val="right" w:pos="9360"/>
      </w:tabs>
    </w:pPr>
  </w:style>
  <w:style w:type="character" w:customStyle="1" w:styleId="HeaderChar">
    <w:name w:val="Header Char"/>
    <w:basedOn w:val="DefaultParagraphFont"/>
    <w:link w:val="Header"/>
    <w:uiPriority w:val="99"/>
    <w:semiHidden/>
    <w:rsid w:val="00527D9A"/>
  </w:style>
  <w:style w:type="character" w:styleId="LineNumber">
    <w:name w:val="line number"/>
    <w:basedOn w:val="DefaultParagraphFont"/>
    <w:uiPriority w:val="99"/>
    <w:semiHidden/>
    <w:unhideWhenUsed/>
    <w:locked/>
    <w:rsid w:val="00527D9A"/>
  </w:style>
  <w:style w:type="character" w:styleId="Hyperlink">
    <w:name w:val="Hyperlink"/>
    <w:basedOn w:val="DefaultParagraphFont"/>
    <w:uiPriority w:val="99"/>
    <w:unhideWhenUsed/>
    <w:locked/>
    <w:rsid w:val="00527D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20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345</Words>
  <Characters>2035</Characters>
  <Application>Microsoft Office Word</Application>
  <DocSecurity>0</DocSecurity>
  <Lines>88</Lines>
  <Paragraphs>32</Paragraphs>
  <ScaleCrop>false</ScaleCrop>
  <Company>Project Management</Company>
  <LinksUpToDate>false</LinksUpToDate>
  <CharactersWithSpaces>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220: State energy policy - South Carolina Legislature Online</dc:title>
  <dc:subject/>
  <dc:creator>NSC</dc:creator>
  <cp:keywords/>
  <dc:description/>
  <cp:lastModifiedBy>N Cumfer</cp:lastModifiedBy>
  <cp:revision>13</cp:revision>
  <dcterms:created xsi:type="dcterms:W3CDTF">2008-12-17T19:50:00Z</dcterms:created>
  <dcterms:modified xsi:type="dcterms:W3CDTF">2014-11-24T14:55:00Z</dcterms:modified>
</cp:coreProperties>
</file>