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3A2" w:rsidRDefault="007D6B0D">
      <w:pPr>
        <w:widowControl w:val="0"/>
        <w:jc w:val="center"/>
        <w:rPr>
          <w:rFonts w:cs="Times New Roman"/>
        </w:rPr>
      </w:pPr>
      <w:bookmarkStart w:id="0" w:name="_GoBack"/>
      <w:bookmarkEnd w:id="0"/>
      <w:r>
        <w:rPr>
          <w:rFonts w:cs="Times New Roman"/>
          <w:b/>
        </w:rPr>
        <w:t>South Carolina General Assembly</w:t>
      </w:r>
    </w:p>
    <w:p w:rsidR="008513A2" w:rsidRDefault="007D6B0D">
      <w:pPr>
        <w:widowControl w:val="0"/>
        <w:jc w:val="center"/>
        <w:rPr>
          <w:rFonts w:cs="Times New Roman"/>
        </w:rPr>
      </w:pPr>
      <w:r>
        <w:rPr>
          <w:rFonts w:cs="Times New Roman"/>
        </w:rPr>
        <w:t>118th Session, 2009-2010</w:t>
      </w:r>
    </w:p>
    <w:p w:rsidR="008513A2" w:rsidRDefault="008513A2">
      <w:pPr>
        <w:widowControl w:val="0"/>
        <w:jc w:val="left"/>
        <w:rPr>
          <w:rFonts w:cs="Times New Roman"/>
        </w:rPr>
      </w:pPr>
    </w:p>
    <w:p w:rsidR="008513A2" w:rsidRDefault="007D6B0D">
      <w:pPr>
        <w:widowControl w:val="0"/>
        <w:jc w:val="left"/>
        <w:rPr>
          <w:rFonts w:cs="Times New Roman"/>
          <w:b/>
        </w:rPr>
      </w:pPr>
      <w:r>
        <w:rPr>
          <w:rFonts w:cs="Times New Roman"/>
          <w:b/>
        </w:rPr>
        <w:t>S. 223</w:t>
      </w:r>
    </w:p>
    <w:p w:rsidR="008513A2" w:rsidRDefault="008513A2">
      <w:pPr>
        <w:widowControl w:val="0"/>
        <w:jc w:val="left"/>
        <w:rPr>
          <w:rFonts w:cs="Times New Roman"/>
          <w:b/>
        </w:rPr>
      </w:pPr>
    </w:p>
    <w:p w:rsidR="008513A2" w:rsidRDefault="007D6B0D">
      <w:pPr>
        <w:widowControl w:val="0"/>
        <w:jc w:val="left"/>
        <w:rPr>
          <w:rFonts w:cs="Times New Roman"/>
        </w:rPr>
      </w:pPr>
      <w:r>
        <w:rPr>
          <w:rFonts w:cs="Times New Roman"/>
          <w:b/>
        </w:rPr>
        <w:t>STATUS INFORMATION</w:t>
      </w:r>
    </w:p>
    <w:p w:rsidR="008513A2" w:rsidRDefault="008513A2">
      <w:pPr>
        <w:widowControl w:val="0"/>
        <w:jc w:val="left"/>
        <w:rPr>
          <w:rFonts w:cs="Times New Roman"/>
        </w:rPr>
      </w:pPr>
    </w:p>
    <w:p w:rsidR="008513A2" w:rsidRDefault="007D6B0D">
      <w:pPr>
        <w:widowControl w:val="0"/>
        <w:jc w:val="left"/>
        <w:rPr>
          <w:rFonts w:cs="Times New Roman"/>
        </w:rPr>
      </w:pPr>
      <w:r>
        <w:rPr>
          <w:rFonts w:cs="Times New Roman"/>
        </w:rPr>
        <w:t>General Bill</w:t>
      </w:r>
    </w:p>
    <w:p w:rsidR="008513A2" w:rsidRDefault="007D6B0D">
      <w:pPr>
        <w:widowControl w:val="0"/>
        <w:jc w:val="left"/>
        <w:rPr>
          <w:rFonts w:cs="Times New Roman"/>
        </w:rPr>
      </w:pPr>
      <w:r>
        <w:rPr>
          <w:rFonts w:cs="Times New Roman"/>
        </w:rPr>
        <w:t>Sponsors: Senator Lourie</w:t>
      </w:r>
    </w:p>
    <w:p w:rsidR="008513A2" w:rsidRDefault="007D6B0D">
      <w:pPr>
        <w:widowControl w:val="0"/>
        <w:jc w:val="left"/>
        <w:rPr>
          <w:rFonts w:cs="Times New Roman"/>
        </w:rPr>
      </w:pPr>
      <w:r>
        <w:rPr>
          <w:rFonts w:cs="Times New Roman"/>
        </w:rPr>
        <w:t>Document Path: l:\s-resmin\drafting\jl\002anim.tcm.jl.docx</w:t>
      </w:r>
    </w:p>
    <w:p w:rsidR="008513A2" w:rsidRDefault="008513A2">
      <w:pPr>
        <w:widowControl w:val="0"/>
        <w:jc w:val="left"/>
        <w:rPr>
          <w:rFonts w:cs="Times New Roman"/>
        </w:rPr>
      </w:pPr>
    </w:p>
    <w:p w:rsidR="008513A2" w:rsidRDefault="007D6B0D">
      <w:pPr>
        <w:widowControl w:val="0"/>
        <w:jc w:val="left"/>
        <w:rPr>
          <w:rFonts w:cs="Times New Roman"/>
        </w:rPr>
      </w:pPr>
      <w:r>
        <w:rPr>
          <w:rFonts w:cs="Times New Roman"/>
        </w:rPr>
        <w:t>Introduced in the Senate on January 13, 2009</w:t>
      </w:r>
    </w:p>
    <w:p w:rsidR="008513A2" w:rsidRDefault="007D6B0D">
      <w:pPr>
        <w:widowControl w:val="0"/>
        <w:jc w:val="left"/>
        <w:rPr>
          <w:rFonts w:cs="Times New Roman"/>
        </w:rPr>
      </w:pPr>
      <w:r>
        <w:rPr>
          <w:rFonts w:cs="Times New Roman"/>
        </w:rPr>
        <w:t>Introduced in the House on March 25, 2009</w:t>
      </w:r>
    </w:p>
    <w:p w:rsidR="008513A2" w:rsidRDefault="007D6B0D">
      <w:pPr>
        <w:widowControl w:val="0"/>
        <w:jc w:val="left"/>
        <w:rPr>
          <w:rFonts w:cs="Times New Roman"/>
        </w:rPr>
      </w:pPr>
      <w:r>
        <w:rPr>
          <w:rFonts w:cs="Times New Roman"/>
        </w:rPr>
        <w:t xml:space="preserve">Currently residing in the House Committee on </w:t>
      </w:r>
      <w:r>
        <w:rPr>
          <w:rFonts w:cs="Times New Roman"/>
          <w:b/>
        </w:rPr>
        <w:t>Judiciary</w:t>
      </w:r>
    </w:p>
    <w:p w:rsidR="008513A2" w:rsidRDefault="008513A2">
      <w:pPr>
        <w:widowControl w:val="0"/>
        <w:jc w:val="left"/>
        <w:rPr>
          <w:rFonts w:cs="Times New Roman"/>
        </w:rPr>
      </w:pPr>
    </w:p>
    <w:p w:rsidR="008513A2" w:rsidRDefault="007D6B0D">
      <w:pPr>
        <w:widowControl w:val="0"/>
        <w:jc w:val="left"/>
        <w:rPr>
          <w:rFonts w:cs="Times New Roman"/>
        </w:rPr>
      </w:pPr>
      <w:r>
        <w:rPr>
          <w:rFonts w:cs="Times New Roman"/>
        </w:rPr>
        <w:t>Summary: Provisions for Cost of Animal Care Act</w:t>
      </w:r>
    </w:p>
    <w:p w:rsidR="008513A2" w:rsidRDefault="008513A2">
      <w:pPr>
        <w:widowControl w:val="0"/>
        <w:jc w:val="left"/>
        <w:rPr>
          <w:rFonts w:cs="Times New Roman"/>
        </w:rPr>
      </w:pPr>
    </w:p>
    <w:p w:rsidR="008513A2" w:rsidRDefault="008513A2">
      <w:pPr>
        <w:widowControl w:val="0"/>
        <w:jc w:val="left"/>
        <w:rPr>
          <w:rFonts w:cs="Times New Roman"/>
        </w:rPr>
      </w:pPr>
    </w:p>
    <w:p w:rsidR="008513A2" w:rsidRDefault="007D6B0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513A2" w:rsidRDefault="008513A2">
      <w:pPr>
        <w:widowControl w:val="0"/>
        <w:tabs>
          <w:tab w:val="center" w:pos="590"/>
          <w:tab w:val="center" w:pos="1440"/>
          <w:tab w:val="left" w:pos="1872"/>
          <w:tab w:val="left" w:pos="9187"/>
        </w:tabs>
        <w:jc w:val="left"/>
        <w:rPr>
          <w:rFonts w:cs="Times New Roman"/>
        </w:rPr>
      </w:pPr>
    </w:p>
    <w:p w:rsidR="008513A2" w:rsidRDefault="007D6B0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513A2" w:rsidRDefault="007D6B0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8513A2" w:rsidRDefault="007D6B0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Agriculture and Natural Resources</w:t>
      </w:r>
    </w:p>
    <w:p w:rsidR="008513A2" w:rsidRDefault="007D6B0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F7320">
          <w:rPr>
            <w:rStyle w:val="Hyperlink"/>
            <w:rFonts w:cs="Times New Roman"/>
          </w:rPr>
          <w:t>SJ</w:t>
        </w:r>
      </w:hyperlink>
      <w:r>
        <w:rPr>
          <w:rFonts w:cs="Times New Roman"/>
        </w:rPr>
        <w:noBreakHyphen/>
        <w:t>185</w:t>
      </w:r>
    </w:p>
    <w:p w:rsidR="008513A2" w:rsidRDefault="007D6B0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Agriculture and Natural Resources</w:t>
      </w:r>
      <w:r>
        <w:rPr>
          <w:rFonts w:cs="Times New Roman"/>
        </w:rPr>
        <w:t xml:space="preserve"> </w:t>
      </w:r>
      <w:hyperlink r:id="rId7" w:history="1">
        <w:r w:rsidRPr="006F7320">
          <w:rPr>
            <w:rStyle w:val="Hyperlink"/>
            <w:rFonts w:cs="Times New Roman"/>
          </w:rPr>
          <w:t>SJ</w:t>
        </w:r>
      </w:hyperlink>
      <w:r>
        <w:rPr>
          <w:rFonts w:cs="Times New Roman"/>
        </w:rPr>
        <w:noBreakHyphen/>
        <w:t>185</w:t>
      </w:r>
    </w:p>
    <w:p w:rsidR="008513A2" w:rsidRDefault="007D6B0D">
      <w:pPr>
        <w:widowControl w:val="0"/>
        <w:tabs>
          <w:tab w:val="right" w:pos="1008"/>
          <w:tab w:val="left" w:pos="1152"/>
          <w:tab w:val="left" w:pos="1872"/>
          <w:tab w:val="left" w:pos="9187"/>
        </w:tabs>
        <w:ind w:left="2088" w:hanging="2088"/>
        <w:jc w:val="left"/>
        <w:rPr>
          <w:rFonts w:cs="Times New Roman"/>
        </w:rPr>
      </w:pPr>
      <w:r>
        <w:rPr>
          <w:rFonts w:cs="Times New Roman"/>
        </w:rPr>
        <w:tab/>
        <w:t>3/12/2009</w:t>
      </w:r>
      <w:r>
        <w:rPr>
          <w:rFonts w:cs="Times New Roman"/>
        </w:rPr>
        <w:tab/>
        <w:t>Senate</w:t>
      </w:r>
      <w:r>
        <w:rPr>
          <w:rFonts w:cs="Times New Roman"/>
        </w:rPr>
        <w:tab/>
        <w:t xml:space="preserve">Committee report: Favorable with amendment </w:t>
      </w:r>
      <w:r>
        <w:rPr>
          <w:rFonts w:cs="Times New Roman"/>
          <w:b/>
        </w:rPr>
        <w:t>Agriculture and Natural Resources</w:t>
      </w:r>
      <w:r>
        <w:rPr>
          <w:rFonts w:cs="Times New Roman"/>
        </w:rPr>
        <w:t xml:space="preserve"> </w:t>
      </w:r>
      <w:hyperlink r:id="rId8" w:history="1">
        <w:r w:rsidRPr="006F7320">
          <w:rPr>
            <w:rStyle w:val="Hyperlink"/>
            <w:rFonts w:cs="Times New Roman"/>
          </w:rPr>
          <w:t>SJ</w:t>
        </w:r>
      </w:hyperlink>
      <w:r>
        <w:rPr>
          <w:rFonts w:cs="Times New Roman"/>
        </w:rPr>
        <w:noBreakHyphen/>
        <w:t>10</w:t>
      </w:r>
    </w:p>
    <w:p w:rsidR="008513A2" w:rsidRDefault="007D6B0D">
      <w:pPr>
        <w:widowControl w:val="0"/>
        <w:tabs>
          <w:tab w:val="right" w:pos="1008"/>
          <w:tab w:val="left" w:pos="1152"/>
          <w:tab w:val="left" w:pos="1872"/>
          <w:tab w:val="left" w:pos="9187"/>
        </w:tabs>
        <w:ind w:left="2088" w:hanging="2088"/>
        <w:jc w:val="left"/>
        <w:rPr>
          <w:rFonts w:cs="Times New Roman"/>
        </w:rPr>
      </w:pPr>
      <w:r>
        <w:rPr>
          <w:rFonts w:cs="Times New Roman"/>
        </w:rPr>
        <w:tab/>
        <w:t>3/17/2009</w:t>
      </w:r>
      <w:r>
        <w:rPr>
          <w:rFonts w:cs="Times New Roman"/>
        </w:rPr>
        <w:tab/>
        <w:t>Senate</w:t>
      </w:r>
      <w:r>
        <w:rPr>
          <w:rFonts w:cs="Times New Roman"/>
        </w:rPr>
        <w:tab/>
        <w:t xml:space="preserve">Committee Amendment Adopted </w:t>
      </w:r>
      <w:hyperlink r:id="rId9" w:history="1">
        <w:r w:rsidRPr="006F7320">
          <w:rPr>
            <w:rStyle w:val="Hyperlink"/>
            <w:rFonts w:cs="Times New Roman"/>
          </w:rPr>
          <w:t>SJ</w:t>
        </w:r>
      </w:hyperlink>
      <w:r>
        <w:rPr>
          <w:rFonts w:cs="Times New Roman"/>
        </w:rPr>
        <w:noBreakHyphen/>
        <w:t>16</w:t>
      </w:r>
    </w:p>
    <w:p w:rsidR="008513A2" w:rsidRDefault="007D6B0D">
      <w:pPr>
        <w:widowControl w:val="0"/>
        <w:tabs>
          <w:tab w:val="right" w:pos="1008"/>
          <w:tab w:val="left" w:pos="1152"/>
          <w:tab w:val="left" w:pos="1872"/>
          <w:tab w:val="left" w:pos="9187"/>
        </w:tabs>
        <w:ind w:left="2088" w:hanging="2088"/>
        <w:jc w:val="left"/>
        <w:rPr>
          <w:rFonts w:cs="Times New Roman"/>
        </w:rPr>
      </w:pPr>
      <w:r>
        <w:rPr>
          <w:rFonts w:cs="Times New Roman"/>
        </w:rPr>
        <w:tab/>
        <w:t>3/17/2009</w:t>
      </w:r>
      <w:r>
        <w:rPr>
          <w:rFonts w:cs="Times New Roman"/>
        </w:rPr>
        <w:tab/>
        <w:t>Senate</w:t>
      </w:r>
      <w:r>
        <w:rPr>
          <w:rFonts w:cs="Times New Roman"/>
        </w:rPr>
        <w:tab/>
        <w:t xml:space="preserve">Read second time </w:t>
      </w:r>
      <w:hyperlink r:id="rId10" w:history="1">
        <w:r w:rsidRPr="006F7320">
          <w:rPr>
            <w:rStyle w:val="Hyperlink"/>
            <w:rFonts w:cs="Times New Roman"/>
          </w:rPr>
          <w:t>SJ</w:t>
        </w:r>
      </w:hyperlink>
      <w:r>
        <w:rPr>
          <w:rFonts w:cs="Times New Roman"/>
        </w:rPr>
        <w:noBreakHyphen/>
        <w:t>16</w:t>
      </w:r>
    </w:p>
    <w:p w:rsidR="008513A2" w:rsidRDefault="007D6B0D">
      <w:pPr>
        <w:widowControl w:val="0"/>
        <w:tabs>
          <w:tab w:val="right" w:pos="1008"/>
          <w:tab w:val="left" w:pos="1152"/>
          <w:tab w:val="left" w:pos="1872"/>
          <w:tab w:val="left" w:pos="9187"/>
        </w:tabs>
        <w:ind w:left="2088" w:hanging="2088"/>
        <w:jc w:val="left"/>
        <w:rPr>
          <w:rFonts w:cs="Times New Roman"/>
        </w:rPr>
      </w:pPr>
      <w:r>
        <w:rPr>
          <w:rFonts w:cs="Times New Roman"/>
        </w:rPr>
        <w:tab/>
        <w:t>3/24/2009</w:t>
      </w:r>
      <w:r>
        <w:rPr>
          <w:rFonts w:cs="Times New Roman"/>
        </w:rPr>
        <w:tab/>
        <w:t>Senate</w:t>
      </w:r>
      <w:r>
        <w:rPr>
          <w:rFonts w:cs="Times New Roman"/>
        </w:rPr>
        <w:tab/>
        <w:t xml:space="preserve">Read third time and sent to House </w:t>
      </w:r>
      <w:hyperlink r:id="rId11" w:history="1">
        <w:r w:rsidRPr="006F7320">
          <w:rPr>
            <w:rStyle w:val="Hyperlink"/>
            <w:rFonts w:cs="Times New Roman"/>
          </w:rPr>
          <w:t>SJ</w:t>
        </w:r>
      </w:hyperlink>
      <w:r>
        <w:rPr>
          <w:rFonts w:cs="Times New Roman"/>
        </w:rPr>
        <w:noBreakHyphen/>
        <w:t>24</w:t>
      </w:r>
    </w:p>
    <w:p w:rsidR="008513A2" w:rsidRDefault="007D6B0D">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House</w:t>
      </w:r>
      <w:r>
        <w:rPr>
          <w:rFonts w:cs="Times New Roman"/>
        </w:rPr>
        <w:tab/>
        <w:t xml:space="preserve">Introduced and read first time </w:t>
      </w:r>
      <w:hyperlink r:id="rId12" w:history="1">
        <w:r w:rsidRPr="006F7320">
          <w:rPr>
            <w:rStyle w:val="Hyperlink"/>
            <w:rFonts w:cs="Times New Roman"/>
          </w:rPr>
          <w:t>HJ</w:t>
        </w:r>
      </w:hyperlink>
      <w:r>
        <w:rPr>
          <w:rFonts w:cs="Times New Roman"/>
        </w:rPr>
        <w:noBreakHyphen/>
        <w:t>12</w:t>
      </w:r>
    </w:p>
    <w:p w:rsidR="008513A2" w:rsidRDefault="007D6B0D">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House</w:t>
      </w:r>
      <w:r>
        <w:rPr>
          <w:rFonts w:cs="Times New Roman"/>
        </w:rPr>
        <w:tab/>
        <w:t xml:space="preserve">Referred to Committee on </w:t>
      </w:r>
      <w:r>
        <w:rPr>
          <w:rFonts w:cs="Times New Roman"/>
          <w:b/>
        </w:rPr>
        <w:t>Judiciary</w:t>
      </w:r>
      <w:r>
        <w:rPr>
          <w:rFonts w:cs="Times New Roman"/>
        </w:rPr>
        <w:t xml:space="preserve"> </w:t>
      </w:r>
      <w:hyperlink r:id="rId13" w:history="1">
        <w:r w:rsidRPr="006F7320">
          <w:rPr>
            <w:rStyle w:val="Hyperlink"/>
            <w:rFonts w:cs="Times New Roman"/>
          </w:rPr>
          <w:t>HJ</w:t>
        </w:r>
      </w:hyperlink>
      <w:r>
        <w:rPr>
          <w:rFonts w:cs="Times New Roman"/>
        </w:rPr>
        <w:noBreakHyphen/>
        <w:t>13</w:t>
      </w:r>
    </w:p>
    <w:p w:rsidR="008513A2" w:rsidRDefault="008513A2">
      <w:pPr>
        <w:widowControl w:val="0"/>
        <w:tabs>
          <w:tab w:val="right" w:pos="1008"/>
          <w:tab w:val="left" w:pos="1152"/>
          <w:tab w:val="left" w:pos="1872"/>
          <w:tab w:val="left" w:pos="9187"/>
        </w:tabs>
        <w:ind w:left="2088" w:hanging="2088"/>
        <w:jc w:val="left"/>
        <w:rPr>
          <w:rFonts w:cs="Times New Roman"/>
        </w:rPr>
      </w:pPr>
    </w:p>
    <w:p w:rsidR="008513A2" w:rsidRDefault="008513A2">
      <w:pPr>
        <w:widowControl w:val="0"/>
        <w:tabs>
          <w:tab w:val="right" w:pos="1008"/>
          <w:tab w:val="left" w:pos="1152"/>
          <w:tab w:val="left" w:pos="1872"/>
          <w:tab w:val="left" w:pos="9187"/>
        </w:tabs>
        <w:ind w:left="2088" w:hanging="2088"/>
        <w:jc w:val="left"/>
        <w:rPr>
          <w:rFonts w:cs="Times New Roman"/>
        </w:rPr>
      </w:pPr>
    </w:p>
    <w:p w:rsidR="008513A2" w:rsidRDefault="007D6B0D">
      <w:pPr>
        <w:widowControl w:val="0"/>
        <w:jc w:val="left"/>
        <w:rPr>
          <w:rFonts w:cs="Times New Roman"/>
        </w:rPr>
      </w:pPr>
      <w:r>
        <w:rPr>
          <w:rFonts w:cs="Times New Roman"/>
          <w:b/>
        </w:rPr>
        <w:t>VERSIONS OF THIS BILL</w:t>
      </w:r>
    </w:p>
    <w:p w:rsidR="008513A2" w:rsidRDefault="008513A2">
      <w:pPr>
        <w:widowControl w:val="0"/>
        <w:jc w:val="left"/>
        <w:rPr>
          <w:rFonts w:cs="Times New Roman"/>
        </w:rPr>
      </w:pPr>
    </w:p>
    <w:p w:rsidR="008513A2" w:rsidRDefault="0087241F">
      <w:pPr>
        <w:widowControl w:val="0"/>
        <w:jc w:val="left"/>
        <w:rPr>
          <w:rFonts w:cs="Times New Roman"/>
        </w:rPr>
      </w:pPr>
      <w:hyperlink r:id="rId14" w:history="1">
        <w:r w:rsidR="007D6B0D">
          <w:rPr>
            <w:rStyle w:val="Hyperlink"/>
            <w:rFonts w:cs="Times New Roman"/>
          </w:rPr>
          <w:t>12/17/2008</w:t>
        </w:r>
      </w:hyperlink>
    </w:p>
    <w:p w:rsidR="008513A2" w:rsidRDefault="0087241F">
      <w:hyperlink r:id="rId15" w:history="1">
        <w:r w:rsidR="007D6B0D">
          <w:rPr>
            <w:rStyle w:val="Hyperlink"/>
          </w:rPr>
          <w:t>3/12/2009</w:t>
        </w:r>
      </w:hyperlink>
    </w:p>
    <w:p w:rsidR="008513A2" w:rsidRDefault="0087241F">
      <w:hyperlink r:id="rId16" w:history="1">
        <w:r w:rsidR="007D6B0D">
          <w:rPr>
            <w:rStyle w:val="Hyperlink"/>
          </w:rPr>
          <w:t>3/17/2009</w:t>
        </w:r>
      </w:hyperlink>
    </w:p>
    <w:p w:rsidR="008513A2" w:rsidRDefault="008513A2"/>
    <w:p w:rsidR="008513A2" w:rsidRDefault="008513A2">
      <w:pPr>
        <w:sectPr w:rsidR="008513A2">
          <w:pgSz w:w="12240" w:h="15840" w:code="1"/>
          <w:pgMar w:top="1080" w:right="1440" w:bottom="1080" w:left="1440" w:header="720" w:footer="720" w:gutter="0"/>
          <w:cols w:space="720"/>
          <w:noEndnote/>
          <w:docGrid w:linePitch="360"/>
        </w:sect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17, 2009</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7D6B0D">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223</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Lourie</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3/17/09--S.</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8513A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47</w:t>
      </w:r>
      <w:r>
        <w:rPr>
          <w:rFonts w:eastAsia="Times New Roman" w:cs="Times New Roman"/>
          <w:szCs w:val="20"/>
        </w:rPr>
        <w:noBreakHyphen/>
        <w:t>1</w:t>
      </w:r>
      <w:r>
        <w:rPr>
          <w:rFonts w:eastAsia="Times New Roman" w:cs="Times New Roman"/>
          <w:szCs w:val="20"/>
        </w:rPr>
        <w:noBreakHyphen/>
        <w:t>145, TO ENACT THE “PROVISIONS FOR COST OF ANIMAL CARE ACT OF 2009”,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Pr>
          <w:rFonts w:eastAsia="Times New Roman" w:cs="Times New Roman"/>
          <w:szCs w:val="20"/>
        </w:rPr>
        <w:noBreakHyphen/>
        <w:t>1</w:t>
      </w:r>
      <w:r>
        <w:rPr>
          <w:rFonts w:eastAsia="Times New Roman" w:cs="Times New Roman"/>
          <w:szCs w:val="20"/>
        </w:rPr>
        <w:noBreakHyphen/>
        <w:t>130,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Pr>
          <w:rFonts w:eastAsia="Times New Roman" w:cs="Times New Roman"/>
          <w:szCs w:val="20"/>
        </w:rPr>
        <w:noBreakHyphen/>
        <w:t>1</w:t>
      </w:r>
      <w:r>
        <w:rPr>
          <w:rFonts w:eastAsia="Times New Roman" w:cs="Times New Roman"/>
          <w:szCs w:val="20"/>
        </w:rPr>
        <w:noBreakHyphen/>
        <w:t>140, RELATING TO NOTICE PROVIDED TO THE OWNER OF ANIMALS WHICH HAVE BEEN SEIZED FROM OTHERS UPON ARREST, TO REMOVE SPECIAL PROVISIONS FOR AGENTS OF THE SOUTH CAROLINA SOCIETY FOR THE PREVENTION OF CRUELTY TO ANIMALS, OR ANY OTHER SOCIETY DULY INCORPORATED FOR THAT PURPOSE.</w:t>
      </w:r>
      <w:bookmarkStart w:id="4" w:name="titleend"/>
      <w:bookmarkEnd w:id="4"/>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rPr>
      </w:pPr>
      <w:r>
        <w:rPr>
          <w:rFonts w:eastAsia="Times New Roman" w:cs="Times New Roman"/>
        </w:rPr>
        <w:tab/>
        <w:t>Amend Title To Conform</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may be cited as the “Provisions for Cost of Animal Care Act of 2009”.</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1, Title 47 of the 1976 Code is amended by adding:</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145.</w:t>
      </w:r>
      <w:r>
        <w:rPr>
          <w:rFonts w:eastAsia="Times New Roman" w:cs="Times New Roman"/>
          <w:szCs w:val="20"/>
        </w:rPr>
        <w:tab/>
        <w:t>(A)</w:t>
      </w:r>
      <w:r>
        <w:rPr>
          <w:rFonts w:eastAsia="Times New Roman" w:cs="Times New Roman"/>
          <w:szCs w:val="20"/>
        </w:rPr>
        <w:tab/>
        <w:t>Any person, organization, or other entity that is awarded custody of an animal under the provisions of Section 47</w:t>
      </w:r>
      <w:r>
        <w:rPr>
          <w:rFonts w:eastAsia="Times New Roman" w:cs="Times New Roman"/>
          <w:szCs w:val="20"/>
        </w:rPr>
        <w:noBreakHyphen/>
        <w:t>1</w:t>
      </w:r>
      <w:r>
        <w:rPr>
          <w:rFonts w:eastAsia="Times New Roman" w:cs="Times New Roman"/>
          <w:szCs w:val="20"/>
        </w:rPr>
        <w:noBreakHyphen/>
        <w:t>150 because of the arrest of a defendant for a violation of any provision of Chapter 1 of Title 47 or Chapter 24 of Title 16 and that provides services to the animal without compensation, may file a petition with the court requesting that the defendant be ordered to deposit funds in an amount sufficient to secure payment of all the reasonable expenses expected to be incurred by the custodian in caring for and providing for the animal pending the disposition of the litigation.  The court shall order the deposit of a sufficient amount of funds upon a showing that providing reasonable care to the defendant’s animal or animals will create an undue financial burden on the organization that will have a detrimental effect on the person’s, organization’s, or entity’s ability to provide services to other animals.  For purposes of this section, ‘reasonable expenses’ includes the cost of providing food, water, shelter, and care, including medical care, for at least thirty days but does not include extraordinary medical procedures.</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the defendant is in a local detention facility at the time the petition is filed, the custodian of the animal also shall provide notice to the custodian of the detention facility.</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court shall set the amount of funds necessary for thirty days’ care after taking into consideration all of the facts and circumstances of the case, including the need to care for and provide for the animal pending the disposition of the litigation, the recommendation of the custodian of the animal, the estimated cost of caring for and providing for the animal, and the defendant’s ability to pay.</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Any order for funds to be deposited pursuant to this section must state that if the custodian of the animal files an affidavit with the court, at least two business days before the expiration of a thirty</w:t>
      </w:r>
      <w:r>
        <w:rPr>
          <w:rFonts w:eastAsia="Times New Roman" w:cs="Times New Roman"/>
          <w:szCs w:val="20"/>
        </w:rPr>
        <w:noBreakHyphen/>
        <w:t>day period, stating that, to the best of the custodian’s knowledge, the case against the defendant has not yet been resolved, the order must be automatically renewed every thirty days until the case is resolved.</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court may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Pr>
          <w:rFonts w:eastAsia="Times New Roman" w:cs="Times New Roman"/>
          <w:szCs w:val="20"/>
        </w:rPr>
        <w:noBreakHyphen/>
        <w:t>day period.  If funds have been deposited in accordance with this subsection, the custodian of the animal may draw from the funds the actual costs incurred in caring for the animal.</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(3)(a)</w:t>
      </w:r>
      <w:r>
        <w:rPr>
          <w:rFonts w:eastAsia="Times New Roman" w:cs="Times New Roman"/>
          <w:szCs w:val="20"/>
        </w:rPr>
        <w:tab/>
        <w:t xml:space="preserve">If the court makes a final determination of the charges or claims against the defendant in his favor, then the defendant may recover custody of his animal if, within thirty days of the final determination, he satisfies all outstanding obligations concerning court ordered deposits for the care of the animal.  </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If the defendant fails to satisfy all outstanding obligations concerning court ordered deposits for the care of the animal within thirty days of the final determination, the defendant forfeits all rights of ownership or possession of the animal.  The custodian of the animal may then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r>
        <w:rPr>
          <w:rFonts w:eastAsia="Times New Roman" w:cs="Times New Roman"/>
          <w:szCs w:val="20"/>
        </w:rPr>
        <w:tab/>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The deposit of funds does not prevent the custodian of the animal from seeking placement of the animal before the expiration of the thirty</w:t>
      </w:r>
      <w:r>
        <w:rPr>
          <w:rFonts w:eastAsia="Times New Roman" w:cs="Times New Roman"/>
          <w:szCs w:val="20"/>
        </w:rPr>
        <w:noBreakHyphen/>
        <w:t>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not found to have committed animal cruelty in a civil action under Chapter 1 of Title 47 is entitled to a refund of the deposit remaining after any draws from the deposit in accordance with subsection (D).</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The remedy provided for in this section is in addition to any other remedy provided in law.”</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130 of the 1976 Code is amended to read:</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Any person violating the laws in relation to cruelty to animals may be arrested and held, without warrant, in the same manner as in the case of persons found breaking the peace. </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Pr>
          <w:rFonts w:eastAsia="Times New Roman" w:cs="Times New Roman"/>
          <w:szCs w:val="20"/>
          <w:u w:val="single"/>
        </w:rPr>
        <w:noBreakHyphen/>
        <w:t>1</w:t>
      </w:r>
      <w:r>
        <w:rPr>
          <w:rFonts w:eastAsia="Times New Roman" w:cs="Times New Roman"/>
          <w:szCs w:val="20"/>
          <w:u w:val="single"/>
        </w:rPr>
        <w:noBreakHyphen/>
        <w:t>120.</w:t>
      </w:r>
      <w:r>
        <w:rPr>
          <w:rFonts w:eastAsia="Times New Roman" w:cs="Times New Roman"/>
          <w:szCs w:val="20"/>
        </w:rPr>
        <w:t>”</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140 of the 1976 Code is amended to read:</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140.</w:t>
      </w:r>
      <w:r>
        <w:rPr>
          <w:rFonts w:eastAsia="Times New Roman" w:cs="Times New Roman"/>
          <w:szCs w:val="20"/>
        </w:rPr>
        <w:tab/>
        <w:t xml:space="preserve">The person making the arrest, with or without warrant, shall use reasonable diligence to give notice to the owner of the animals found in the charge or custody of the person arrested, if the person is not the owner, and shall care and provide properly for the animals. The person making such arrest shall have a lien on the animals for the expense of such care and provision. </w:t>
      </w:r>
      <w:r>
        <w:rPr>
          <w:rFonts w:eastAsia="Times New Roman" w:cs="Times New Roman"/>
          <w:strike/>
          <w:szCs w:val="20"/>
        </w:rPr>
        <w:t>But if such person making the arrest be an agent of the South Carolina Society for the Prevention of Cruelty to Animals, or other society incorporated for that purpose, the provisions of Section 47</w:t>
      </w:r>
      <w:r>
        <w:rPr>
          <w:rFonts w:eastAsia="Times New Roman" w:cs="Times New Roman"/>
          <w:strike/>
          <w:szCs w:val="20"/>
        </w:rPr>
        <w:noBreakHyphen/>
        <w:t>1</w:t>
      </w:r>
      <w:r>
        <w:rPr>
          <w:rFonts w:eastAsia="Times New Roman" w:cs="Times New Roman"/>
          <w:strike/>
          <w:szCs w:val="20"/>
        </w:rPr>
        <w:noBreakHyphen/>
        <w:t>120 shall apply in lieu of the provisions of this section.</w:t>
      </w:r>
      <w:r>
        <w:rPr>
          <w:rFonts w:eastAsia="Times New Roman" w:cs="Times New Roman"/>
          <w:szCs w:val="20"/>
        </w:rPr>
        <w:t xml:space="preserve"> Notwithstanding any other provision of law, an animal may be seized preceding an arrest and pursuant to Section 47</w:t>
      </w:r>
      <w:r>
        <w:rPr>
          <w:rFonts w:eastAsia="Times New Roman" w:cs="Times New Roman"/>
          <w:szCs w:val="20"/>
        </w:rPr>
        <w:noBreakHyphen/>
        <w:t>1</w:t>
      </w:r>
      <w:r>
        <w:rPr>
          <w:rFonts w:eastAsia="Times New Roman" w:cs="Times New Roman"/>
          <w:szCs w:val="20"/>
        </w:rPr>
        <w:noBreakHyphen/>
        <w:t>150.”</w:t>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8513A2" w:rsidRDefault="007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8513A2" w:rsidRDefault="0085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513A2" w:rsidSect="008513A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3A2" w:rsidRDefault="007D6B0D">
      <w:r>
        <w:separator/>
      </w:r>
    </w:p>
  </w:endnote>
  <w:endnote w:type="continuationSeparator" w:id="0">
    <w:p w:rsidR="008513A2" w:rsidRDefault="007D6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A1BBF5-D004-49B0-BF30-3DE1338DB2D1}"/>
    <w:embedBold r:id="rId2" w:fontKey="{597F3760-9EEC-483D-BB73-C9D8A963C023}"/>
  </w:font>
  <w:font w:name="Calibri">
    <w:panose1 w:val="020F0502020204030204"/>
    <w:charset w:val="00"/>
    <w:family w:val="swiss"/>
    <w:pitch w:val="variable"/>
    <w:sig w:usb0="E10002FF" w:usb1="4000ACFF" w:usb2="00000009" w:usb3="00000000" w:csb0="0000019F" w:csb1="00000000"/>
    <w:embedRegular r:id="rId3" w:fontKey="{EA91D3C4-8924-4781-8B07-74C5D6A8050B}"/>
    <w:embedBold r:id="rId4" w:fontKey="{E7740064-182D-48DD-8F2D-B3AFAB2AA044}"/>
  </w:font>
  <w:font w:name="Tahoma">
    <w:panose1 w:val="020B0604030504040204"/>
    <w:charset w:val="00"/>
    <w:family w:val="swiss"/>
    <w:pitch w:val="variable"/>
    <w:sig w:usb0="21002A87" w:usb1="80000000" w:usb2="00000008" w:usb3="00000000" w:csb0="000101FF" w:csb1="00000000"/>
    <w:embedRegular r:id="rId5" w:fontKey="{54BF2834-7F59-4528-AF6E-5BA61F49EB1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017114B-B415-482D-BFAC-932343E00D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3A2" w:rsidRDefault="007D6B0D">
    <w:pPr>
      <w:pStyle w:val="Footer"/>
      <w:tabs>
        <w:tab w:val="clear" w:pos="4680"/>
        <w:tab w:val="clear" w:pos="9360"/>
        <w:tab w:val="center" w:pos="2995"/>
      </w:tabs>
      <w:spacing w:before="120"/>
    </w:pPr>
    <w:r>
      <w:t>[223-</w:t>
    </w:r>
    <w:r w:rsidR="0087241F">
      <w:fldChar w:fldCharType="begin"/>
    </w:r>
    <w:r w:rsidR="0087241F">
      <w:instrText xml:space="preserve"> PAGE  \* MERGEFORMAT </w:instrText>
    </w:r>
    <w:r w:rsidR="0087241F">
      <w:fldChar w:fldCharType="separate"/>
    </w:r>
    <w:r w:rsidR="0087241F">
      <w:rPr>
        <w:noProof/>
      </w:rPr>
      <w:t>1</w:t>
    </w:r>
    <w:r w:rsidR="0087241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3A2" w:rsidRDefault="007D6B0D">
    <w:pPr>
      <w:pStyle w:val="Footer"/>
      <w:tabs>
        <w:tab w:val="clear" w:pos="4680"/>
        <w:tab w:val="clear" w:pos="9360"/>
        <w:tab w:val="center" w:pos="2995"/>
      </w:tabs>
      <w:spacing w:before="120"/>
    </w:pPr>
    <w:r>
      <w:t>[223]</w:t>
    </w:r>
    <w:r>
      <w:tab/>
    </w:r>
    <w:r w:rsidR="0087241F">
      <w:fldChar w:fldCharType="begin"/>
    </w:r>
    <w:r w:rsidR="0087241F">
      <w:instrText xml:space="preserve"> PAGE  \* MERGEFORMAT </w:instrText>
    </w:r>
    <w:r w:rsidR="0087241F">
      <w:fldChar w:fldCharType="separate"/>
    </w:r>
    <w:r>
      <w:rPr>
        <w:noProof/>
      </w:rPr>
      <w:t>4</w:t>
    </w:r>
    <w:r w:rsidR="008724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3A2" w:rsidRDefault="007D6B0D">
      <w:r>
        <w:separator/>
      </w:r>
    </w:p>
  </w:footnote>
  <w:footnote w:type="continuationSeparator" w:id="0">
    <w:p w:rsidR="008513A2" w:rsidRDefault="007D6B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513A2"/>
    <w:rsid w:val="0031520F"/>
    <w:rsid w:val="005E0C86"/>
    <w:rsid w:val="006F7320"/>
    <w:rsid w:val="007D6B0D"/>
    <w:rsid w:val="008513A2"/>
    <w:rsid w:val="0087241F"/>
    <w:rsid w:val="00D24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6FFF7F-5997-4DD5-9A23-19D0C8571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3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513A2"/>
    <w:rPr>
      <w:szCs w:val="21"/>
    </w:rPr>
  </w:style>
  <w:style w:type="character" w:customStyle="1" w:styleId="PlainTextChar">
    <w:name w:val="Plain Text Char"/>
    <w:basedOn w:val="DefaultParagraphFont"/>
    <w:link w:val="PlainText"/>
    <w:uiPriority w:val="99"/>
    <w:rsid w:val="008513A2"/>
    <w:rPr>
      <w:szCs w:val="21"/>
    </w:rPr>
  </w:style>
  <w:style w:type="paragraph" w:styleId="BodyText">
    <w:name w:val="Body Text"/>
    <w:basedOn w:val="Normal"/>
    <w:link w:val="BodyTextChar"/>
    <w:uiPriority w:val="99"/>
    <w:locked/>
    <w:rsid w:val="008513A2"/>
  </w:style>
  <w:style w:type="character" w:customStyle="1" w:styleId="BodyTextChar">
    <w:name w:val="Body Text Char"/>
    <w:basedOn w:val="DefaultParagraphFont"/>
    <w:link w:val="BodyText"/>
    <w:uiPriority w:val="99"/>
    <w:rsid w:val="008513A2"/>
  </w:style>
  <w:style w:type="paragraph" w:styleId="BalloonText">
    <w:name w:val="Balloon Text"/>
    <w:next w:val="Normal"/>
    <w:link w:val="BalloonTextChar"/>
    <w:uiPriority w:val="99"/>
    <w:unhideWhenUsed/>
    <w:rsid w:val="008513A2"/>
    <w:rPr>
      <w:rFonts w:cs="Tahoma"/>
      <w:szCs w:val="16"/>
    </w:rPr>
  </w:style>
  <w:style w:type="character" w:customStyle="1" w:styleId="BalloonTextChar">
    <w:name w:val="Balloon Text Char"/>
    <w:basedOn w:val="DefaultParagraphFont"/>
    <w:link w:val="BalloonText"/>
    <w:uiPriority w:val="99"/>
    <w:rsid w:val="008513A2"/>
    <w:rPr>
      <w:rFonts w:cs="Tahoma"/>
      <w:szCs w:val="16"/>
    </w:rPr>
  </w:style>
  <w:style w:type="paragraph" w:styleId="NormalWeb">
    <w:name w:val="Normal (Web)"/>
    <w:basedOn w:val="Normal"/>
    <w:next w:val="Normal"/>
    <w:semiHidden/>
    <w:locked/>
    <w:rsid w:val="008513A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513A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513A2"/>
    <w:rPr>
      <w:rFonts w:cs="Times New Roman"/>
    </w:rPr>
  </w:style>
  <w:style w:type="paragraph" w:styleId="Header">
    <w:name w:val="header"/>
    <w:basedOn w:val="Normal"/>
    <w:link w:val="HeaderChar"/>
    <w:uiPriority w:val="99"/>
    <w:semiHidden/>
    <w:unhideWhenUsed/>
    <w:locked/>
    <w:rsid w:val="008513A2"/>
    <w:pPr>
      <w:tabs>
        <w:tab w:val="center" w:pos="4680"/>
        <w:tab w:val="right" w:pos="9360"/>
      </w:tabs>
    </w:pPr>
  </w:style>
  <w:style w:type="character" w:customStyle="1" w:styleId="HeaderChar">
    <w:name w:val="Header Char"/>
    <w:basedOn w:val="DefaultParagraphFont"/>
    <w:link w:val="Header"/>
    <w:uiPriority w:val="99"/>
    <w:semiHidden/>
    <w:rsid w:val="008513A2"/>
  </w:style>
  <w:style w:type="character" w:styleId="LineNumber">
    <w:name w:val="line number"/>
    <w:basedOn w:val="DefaultParagraphFont"/>
    <w:uiPriority w:val="99"/>
    <w:semiHidden/>
    <w:unhideWhenUsed/>
    <w:locked/>
    <w:rsid w:val="008513A2"/>
  </w:style>
  <w:style w:type="character" w:styleId="Hyperlink">
    <w:name w:val="Hyperlink"/>
    <w:basedOn w:val="DefaultParagraphFont"/>
    <w:uiPriority w:val="99"/>
    <w:unhideWhenUsed/>
    <w:locked/>
    <w:rsid w:val="008513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2-09.docx" TargetMode="External"/><Relationship Id="rId13" Type="http://schemas.openxmlformats.org/officeDocument/2006/relationships/hyperlink" Target="file:///h:\HJ%20Archive\2009\03-25-09.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hyperlink" Target="file:///h:\HJ%20Archive\2009\03-25-09.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09-10\223_20090317.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3-24-09.docx" TargetMode="External"/><Relationship Id="rId5" Type="http://schemas.openxmlformats.org/officeDocument/2006/relationships/endnotes" Target="endnotes.xml"/><Relationship Id="rId15" Type="http://schemas.openxmlformats.org/officeDocument/2006/relationships/hyperlink" Target="file:///p:\pprever\2009-10\223_20090312.docx" TargetMode="External"/><Relationship Id="rId10" Type="http://schemas.openxmlformats.org/officeDocument/2006/relationships/hyperlink" Target="file:///h:\SJ%20Archive\2009\03-17-09.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09\03-17-09.docx" TargetMode="External"/><Relationship Id="rId14" Type="http://schemas.openxmlformats.org/officeDocument/2006/relationships/hyperlink" Target="file:///p:\pprever\2009-10\223_2008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1598</Words>
  <Characters>8002</Characters>
  <Application>Microsoft Office Word</Application>
  <DocSecurity>0</DocSecurity>
  <Lines>224</Lines>
  <Paragraphs>57</Paragraphs>
  <ScaleCrop>false</ScaleCrop>
  <Company>Project Management</Company>
  <LinksUpToDate>false</LinksUpToDate>
  <CharactersWithSpaces>9597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223: Provisions for Cost of Animal Care Act - South Carolina Legislature Online</dc:title>
  <dc:subject/>
  <dc:creator>NSC</dc:creator>
  <cp:keywords/>
  <dc:description/>
  <cp:lastModifiedBy>N Cumfer</cp:lastModifiedBy>
  <cp:revision>12</cp:revision>
  <dcterms:created xsi:type="dcterms:W3CDTF">2009-03-17T17:59:00Z</dcterms:created>
  <dcterms:modified xsi:type="dcterms:W3CDTF">2014-11-24T14:55:00Z</dcterms:modified>
</cp:coreProperties>
</file>