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 R61, S301</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Malloy</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l:\council\bills\dka\3109dw09.docx</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3438</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2009</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2009</w:t>
      </w: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Insurer</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C734CE">
      <w:pPr>
        <w:widowControl w:val="0"/>
        <w:tabs>
          <w:tab w:val="center" w:pos="590"/>
          <w:tab w:val="center" w:pos="1440"/>
          <w:tab w:val="left" w:pos="1872"/>
          <w:tab w:val="left" w:pos="9187"/>
        </w:tabs>
        <w:rPr>
          <w:rFonts w:cs="Times New Roman"/>
        </w:rPr>
      </w:pPr>
      <w:r>
        <w:rPr>
          <w:rFonts w:cs="Times New Roman"/>
          <w:b/>
        </w:rPr>
        <w:t>HISTORY OF LEGISLATIVE ACTIONS</w:t>
      </w:r>
    </w:p>
    <w:p w:rsidR="00CB436C" w:rsidRDefault="00CB436C">
      <w:pPr>
        <w:widowControl w:val="0"/>
        <w:tabs>
          <w:tab w:val="center" w:pos="590"/>
          <w:tab w:val="center" w:pos="1440"/>
          <w:tab w:val="left" w:pos="1872"/>
          <w:tab w:val="left" w:pos="9187"/>
        </w:tabs>
        <w:rPr>
          <w:rFonts w:cs="Times New Roman"/>
        </w:rPr>
      </w:pPr>
    </w:p>
    <w:p w:rsidR="00CB436C" w:rsidRDefault="00C734CE">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t xml:space="preserve">Introduced and read first time </w:t>
      </w:r>
      <w:hyperlink r:id="rId6" w:history="1">
        <w:r w:rsidRPr="006F3E30">
          <w:rPr>
            <w:rStyle w:val="Hyperlink"/>
            <w:rFonts w:cs="Times New Roman"/>
          </w:rPr>
          <w:t>SJ</w:t>
        </w:r>
      </w:hyperlink>
      <w:r>
        <w:rPr>
          <w:rFonts w:cs="Times New Roman"/>
        </w:rPr>
        <w:noBreakHyphen/>
        <w:t>12</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t xml:space="preserve">Referred to Committee on </w:t>
      </w:r>
      <w:r>
        <w:rPr>
          <w:rFonts w:cs="Times New Roman"/>
          <w:b/>
        </w:rPr>
        <w:t>Banking and Insurance</w:t>
      </w:r>
      <w:r>
        <w:rPr>
          <w:rFonts w:cs="Times New Roman"/>
        </w:rPr>
        <w:t xml:space="preserve"> </w:t>
      </w:r>
      <w:hyperlink r:id="rId7" w:history="1">
        <w:r w:rsidRPr="006F3E30">
          <w:rPr>
            <w:rStyle w:val="Hyperlink"/>
            <w:rFonts w:cs="Times New Roman"/>
          </w:rPr>
          <w:t>SJ</w:t>
        </w:r>
      </w:hyperlink>
      <w:r>
        <w:rPr>
          <w:rFonts w:cs="Times New Roman"/>
        </w:rPr>
        <w:noBreakHyphen/>
        <w:t>12</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t>
      </w:r>
      <w:r>
        <w:rPr>
          <w:rFonts w:cs="Times New Roman"/>
          <w:b/>
        </w:rPr>
        <w:t>Banking and Insurance</w:t>
      </w:r>
      <w:r>
        <w:rPr>
          <w:rFonts w:cs="Times New Roman"/>
        </w:rPr>
        <w:t xml:space="preserve"> </w:t>
      </w:r>
      <w:hyperlink r:id="rId8" w:history="1">
        <w:r w:rsidRPr="006F3E30">
          <w:rPr>
            <w:rStyle w:val="Hyperlink"/>
            <w:rFonts w:cs="Times New Roman"/>
          </w:rPr>
          <w:t>SJ</w:t>
        </w:r>
      </w:hyperlink>
      <w:r>
        <w:rPr>
          <w:rFonts w:cs="Times New Roman"/>
        </w:rPr>
        <w:noBreakHyphen/>
        <w:t>12</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Read second time </w:t>
      </w:r>
      <w:hyperlink r:id="rId9" w:history="1">
        <w:r w:rsidRPr="006F3E30">
          <w:rPr>
            <w:rStyle w:val="Hyperlink"/>
            <w:rFonts w:cs="Times New Roman"/>
          </w:rPr>
          <w:t>SJ</w:t>
        </w:r>
      </w:hyperlink>
      <w:r>
        <w:rPr>
          <w:rFonts w:cs="Times New Roman"/>
        </w:rPr>
        <w:noBreakHyphen/>
        <w:t>11</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Read third time and sent to House </w:t>
      </w:r>
      <w:hyperlink r:id="rId10" w:history="1">
        <w:r w:rsidRPr="006F3E30">
          <w:rPr>
            <w:rStyle w:val="Hyperlink"/>
            <w:rFonts w:cs="Times New Roman"/>
          </w:rPr>
          <w:t>SJ</w:t>
        </w:r>
      </w:hyperlink>
      <w:r>
        <w:rPr>
          <w:rFonts w:cs="Times New Roman"/>
        </w:rPr>
        <w:noBreakHyphen/>
        <w:t>22</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Introduced and read first time </w:t>
      </w:r>
      <w:hyperlink r:id="rId11" w:history="1">
        <w:r w:rsidRPr="006F3E30">
          <w:rPr>
            <w:rStyle w:val="Hyperlink"/>
            <w:rFonts w:cs="Times New Roman"/>
          </w:rPr>
          <w:t>HJ</w:t>
        </w:r>
      </w:hyperlink>
      <w:r>
        <w:rPr>
          <w:rFonts w:cs="Times New Roman"/>
        </w:rPr>
        <w:noBreakHyphen/>
        <w:t>13</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12" w:history="1">
        <w:r w:rsidRPr="006F3E30">
          <w:rPr>
            <w:rStyle w:val="Hyperlink"/>
            <w:rFonts w:cs="Times New Roman"/>
          </w:rPr>
          <w:t>HJ</w:t>
        </w:r>
      </w:hyperlink>
      <w:r>
        <w:rPr>
          <w:rFonts w:cs="Times New Roman"/>
        </w:rPr>
        <w:noBreakHyphen/>
        <w:t>13</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Committee report: Favorable </w:t>
      </w:r>
      <w:r>
        <w:rPr>
          <w:rFonts w:cs="Times New Roman"/>
          <w:b/>
        </w:rPr>
        <w:t>Labor, Commerce and Industry</w:t>
      </w:r>
      <w:r>
        <w:rPr>
          <w:rFonts w:cs="Times New Roman"/>
        </w:rPr>
        <w:t xml:space="preserve"> </w:t>
      </w:r>
      <w:hyperlink r:id="rId13" w:history="1">
        <w:r w:rsidRPr="006F3E30">
          <w:rPr>
            <w:rStyle w:val="Hyperlink"/>
            <w:rFonts w:cs="Times New Roman"/>
          </w:rPr>
          <w:t>HJ</w:t>
        </w:r>
      </w:hyperlink>
      <w:r>
        <w:rPr>
          <w:rFonts w:cs="Times New Roman"/>
        </w:rPr>
        <w:noBreakHyphen/>
        <w:t>2</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second time </w:t>
      </w:r>
      <w:hyperlink r:id="rId14" w:history="1">
        <w:r w:rsidRPr="006F3E30">
          <w:rPr>
            <w:rStyle w:val="Hyperlink"/>
            <w:rFonts w:cs="Times New Roman"/>
          </w:rPr>
          <w:t>HJ</w:t>
        </w:r>
      </w:hyperlink>
      <w:r>
        <w:rPr>
          <w:rFonts w:cs="Times New Roman"/>
        </w:rPr>
        <w:noBreakHyphen/>
        <w:t>27</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third time and enrolled </w:t>
      </w:r>
      <w:hyperlink r:id="rId15" w:history="1">
        <w:r w:rsidRPr="006F3E30">
          <w:rPr>
            <w:rStyle w:val="Hyperlink"/>
            <w:rFonts w:cs="Times New Roman"/>
          </w:rPr>
          <w:t>HJ</w:t>
        </w:r>
      </w:hyperlink>
      <w:r>
        <w:rPr>
          <w:rFonts w:cs="Times New Roman"/>
        </w:rPr>
        <w:noBreakHyphen/>
        <w:t>9</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61</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CB436C" w:rsidRDefault="00C734CE">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27</w:t>
      </w:r>
    </w:p>
    <w:p w:rsidR="00CB436C" w:rsidRDefault="00CB436C">
      <w:pPr>
        <w:widowControl w:val="0"/>
        <w:tabs>
          <w:tab w:val="right" w:pos="1008"/>
          <w:tab w:val="left" w:pos="1152"/>
          <w:tab w:val="left" w:pos="1872"/>
          <w:tab w:val="left" w:pos="9187"/>
        </w:tabs>
        <w:ind w:left="2088" w:hanging="2088"/>
        <w:rPr>
          <w:rFonts w:cs="Times New Roman"/>
        </w:rPr>
      </w:pPr>
    </w:p>
    <w:p w:rsidR="00CB436C" w:rsidRDefault="00CB436C">
      <w:pPr>
        <w:widowControl w:val="0"/>
        <w:tabs>
          <w:tab w:val="right" w:pos="1008"/>
          <w:tab w:val="left" w:pos="1152"/>
          <w:tab w:val="left" w:pos="1872"/>
          <w:tab w:val="left" w:pos="9187"/>
        </w:tabs>
        <w:ind w:left="2088" w:hanging="2088"/>
        <w:rPr>
          <w:rFonts w:cs="Times New Roman"/>
        </w:rPr>
      </w:pPr>
    </w:p>
    <w:p w:rsidR="00CB436C" w:rsidRDefault="00C73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CB436C" w:rsidRDefault="00CB4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6C" w:rsidRDefault="00766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C734CE">
          <w:rPr>
            <w:rFonts w:cs="Times New Roman"/>
            <w:color w:val="0000FF" w:themeColor="hyperlink"/>
            <w:u w:val="single"/>
          </w:rPr>
          <w:t>1/27/2009</w:t>
        </w:r>
      </w:hyperlink>
    </w:p>
    <w:p w:rsidR="00CB436C" w:rsidRDefault="00766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7" w:history="1">
        <w:r w:rsidR="00C734CE">
          <w:rPr>
            <w:color w:val="0000FF" w:themeColor="hyperlink"/>
            <w:u w:val="single"/>
          </w:rPr>
          <w:t>3/11/2009</w:t>
        </w:r>
      </w:hyperlink>
    </w:p>
    <w:p w:rsidR="00CB436C" w:rsidRDefault="00766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C734CE">
          <w:rPr>
            <w:color w:val="0000FF" w:themeColor="hyperlink"/>
            <w:u w:val="single"/>
          </w:rPr>
          <w:t>4/30/2009</w:t>
        </w:r>
      </w:hyperlink>
    </w:p>
    <w:p w:rsidR="00CB436C" w:rsidRDefault="00CB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36C" w:rsidRDefault="00CB4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B436C">
          <w:pgSz w:w="12240" w:h="15840" w:code="1"/>
          <w:pgMar w:top="1080" w:right="1440" w:bottom="1080" w:left="1440" w:header="720" w:footer="720" w:gutter="0"/>
          <w:pgNumType w:start="1"/>
          <w:cols w:space="720"/>
          <w:noEndnote/>
          <w:docGrid w:linePitch="360"/>
        </w:sect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 R61, S301)</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0"/>
        </w:rPr>
        <w:t>TO AMEND THE CODE OF LAWS OF SOUTH CAROLINA, 1976, BY ADDING SECTIONS 38</w:t>
      </w:r>
      <w:r>
        <w:rPr>
          <w:rFonts w:eastAsia="Times New Roman" w:cs="Times New Roman"/>
          <w:b/>
          <w:szCs w:val="20"/>
        </w:rPr>
        <w:noBreakHyphen/>
        <w:t>9</w:t>
      </w:r>
      <w:r>
        <w:rPr>
          <w:rFonts w:eastAsia="Times New Roman" w:cs="Times New Roman"/>
          <w:b/>
          <w:szCs w:val="20"/>
        </w:rPr>
        <w:noBreakHyphen/>
        <w:t>225 AND 38</w:t>
      </w:r>
      <w:r>
        <w:rPr>
          <w:rFonts w:eastAsia="Times New Roman" w:cs="Times New Roman"/>
          <w:b/>
          <w:szCs w:val="20"/>
        </w:rPr>
        <w:noBreakHyphen/>
        <w:t>9</w:t>
      </w:r>
      <w:r>
        <w:rPr>
          <w:rFonts w:eastAsia="Times New Roman" w:cs="Times New Roman"/>
          <w:b/>
          <w:szCs w:val="20"/>
        </w:rPr>
        <w:noBreakHyphen/>
        <w:t>230 SO AS TO ENACT PROVISIONS REQUIRING CERTAIN INSURERS TO FILE A STATEMENT OF ACTUARIAL OPINION AND ACTUARIAL OPINION SUMMARY ANNUALLY AND PROVIDE FOR THE CONFIDENTIALITY OF THESE DOCUMENTS; TO AMEND SECTION 38</w:t>
      </w:r>
      <w:r>
        <w:rPr>
          <w:rFonts w:eastAsia="Times New Roman" w:cs="Times New Roman"/>
          <w:b/>
          <w:szCs w:val="20"/>
        </w:rPr>
        <w:noBreakHyphen/>
        <w:t>5</w:t>
      </w:r>
      <w:r>
        <w:rPr>
          <w:rFonts w:eastAsia="Times New Roman" w:cs="Times New Roman"/>
          <w:b/>
          <w:szCs w:val="20"/>
        </w:rPr>
        <w:noBreakHyphen/>
        <w:t>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w:t>
      </w:r>
      <w:r>
        <w:rPr>
          <w:rFonts w:eastAsia="Times New Roman" w:cs="Times New Roman"/>
          <w:b/>
          <w:szCs w:val="20"/>
        </w:rPr>
        <w:noBreakHyphen/>
        <w:t>9</w:t>
      </w:r>
      <w:r>
        <w:rPr>
          <w:rFonts w:eastAsia="Times New Roman" w:cs="Times New Roman"/>
          <w:b/>
          <w:szCs w:val="20"/>
        </w:rPr>
        <w:noBreakHyphen/>
        <w:t>330, RELATING TO THE DEFINITION OF “COMPANY ACTION LEVEL EVENT”, SO AS TO REDEFINE THE TERM; AND TO AMEND SECTION 38</w:t>
      </w:r>
      <w:r>
        <w:rPr>
          <w:rFonts w:eastAsia="Times New Roman" w:cs="Times New Roman"/>
          <w:b/>
          <w:szCs w:val="20"/>
        </w:rPr>
        <w:noBreakHyphen/>
        <w:t>21</w:t>
      </w:r>
      <w:r>
        <w:rPr>
          <w:rFonts w:eastAsia="Times New Roman" w:cs="Times New Roman"/>
          <w:b/>
          <w:szCs w:val="20"/>
        </w:rPr>
        <w:noBreakHyphen/>
        <w:t>95, RELATING TO APPROVAL FOR ACQUISITION OF A DOMESTIC INSURER BY A CONTROLLING PRODUCER IN ANOTHER STATE, SO AS TO DELETE THE APPLICABILITY TO FOREIGN PRODUCERS AND CORRECT INCORRECT REFERENCES.</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Insurance company to submit actuarial opinion</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Article 1, Chapter 9, Title 38 of the 1976 Code is amended by adding:</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szCs w:val="20"/>
        </w:rPr>
        <w:tab/>
        <w:t>“Section 38</w:t>
      </w:r>
      <w:r>
        <w:rPr>
          <w:rFonts w:eastAsia="Times New Roman" w:cs="Times New Roman"/>
          <w:szCs w:val="20"/>
        </w:rPr>
        <w:noBreakHyphen/>
        <w:t>9</w:t>
      </w:r>
      <w:r>
        <w:rPr>
          <w:rFonts w:eastAsia="Times New Roman" w:cs="Times New Roman"/>
          <w:szCs w:val="20"/>
        </w:rPr>
        <w:noBreakHyphen/>
        <w:t>225.</w:t>
      </w:r>
      <w:r>
        <w:rPr>
          <w:rFonts w:eastAsia="Times New Roman" w:cs="Times New Roman"/>
          <w:szCs w:val="20"/>
        </w:rPr>
        <w:tab/>
      </w:r>
      <w:r>
        <w:rPr>
          <w:rFonts w:eastAsia="Times New Roman" w:cs="Times New Roman"/>
          <w:szCs w:val="20"/>
        </w:rPr>
        <w:tab/>
      </w:r>
      <w:r>
        <w:rPr>
          <w:rFonts w:cs="Times New Roman"/>
          <w:color w:val="000000" w:themeColor="text1"/>
          <w:u w:color="000000" w:themeColor="text1"/>
        </w:rPr>
        <w:t>(A)</w:t>
      </w:r>
      <w:r>
        <w:rPr>
          <w:rFonts w:cs="Times New Roman"/>
          <w:color w:val="000000" w:themeColor="text1"/>
          <w:u w:color="000000" w:themeColor="text1"/>
        </w:rPr>
        <w:tab/>
        <w:t>Each property and casualty insurance company doing business in this State, unless otherwise exempted by the director or his designee, shall submit annually the opinion of an actuary entitled ‘Statement of Actuarial Opinion’.  This opinion must be filed in accordance with the appropriate NAIC Property and Casualty Annual Statement Instructions.</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(B)(1)</w:t>
      </w:r>
      <w:r>
        <w:rPr>
          <w:rFonts w:cs="Times New Roman"/>
          <w:color w:val="000000" w:themeColor="text1"/>
          <w:u w:color="000000" w:themeColor="text1"/>
        </w:rPr>
        <w:tab/>
        <w:t xml:space="preserve">Each property and casualty insurance company domiciled in this State that is required to submit a statement of Actuarial Opinion shall submit annually an Actuarial Opinion Summary, written by the company’s Appointed Actuary. This Actuarial Opinion Summary must be filed in accordance with the appropriate NAIC Property and </w:t>
      </w:r>
      <w:r>
        <w:rPr>
          <w:rFonts w:cs="Times New Roman"/>
          <w:color w:val="000000" w:themeColor="text1"/>
          <w:u w:color="000000" w:themeColor="text1"/>
        </w:rPr>
        <w:lastRenderedPageBreak/>
        <w:t>Casualty Annual Statement Instructions and must be considered as a document supporting the Actuarial Opinion required in subsection (A).</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 xml:space="preserve">A company licensed but not domiciled in this State shall provide the Actuarial Opinion Summary upon request.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(C)(1)</w:t>
      </w:r>
      <w:r>
        <w:rPr>
          <w:rFonts w:cs="Times New Roman"/>
          <w:color w:val="000000" w:themeColor="text1"/>
          <w:u w:color="000000" w:themeColor="text1"/>
        </w:rPr>
        <w:tab/>
        <w:t xml:space="preserve"> An Actuarial Report and underlying workpapers as required by the appropriate NAIC Property and Casualty Annual Statement Instructions must be prepared to support each Actuarial Opinion.</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 xml:space="preserve">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The Appointed Actuary is not liable for damages to a person, other than the insurer and the director or his designee, for any act, error, omission, decision, or conduct with respect to the actuary’s opinion, except in cases of fraud or wilful misconduct on the part of the Appointed Actuary.</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38</w:t>
      </w:r>
      <w:r>
        <w:rPr>
          <w:rFonts w:cs="Times New Roman"/>
          <w:color w:val="000000" w:themeColor="text1"/>
          <w:u w:color="000000" w:themeColor="text1"/>
        </w:rPr>
        <w:noBreakHyphen/>
        <w:t>9</w:t>
      </w:r>
      <w:r>
        <w:rPr>
          <w:rFonts w:cs="Times New Roman"/>
          <w:color w:val="000000" w:themeColor="text1"/>
          <w:u w:color="000000" w:themeColor="text1"/>
        </w:rPr>
        <w:noBreakHyphen/>
        <w:t xml:space="preserve">230. </w:t>
      </w: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t>The Statement of Actuarial Opinion must be provided with the Annual Statement in accordance with the appropriate NAIC Property and Casualty Annual Statement Instructions and must be treated as a public document.</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(B)(1)</w:t>
      </w:r>
      <w:r>
        <w:rPr>
          <w:rFonts w:cs="Times New Roman"/>
          <w:color w:val="000000" w:themeColor="text1"/>
          <w:u w:color="000000" w:themeColor="text1"/>
        </w:rPr>
        <w:tab/>
        <w:t xml:space="preserve">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This provision may not be construed to limit the director or his designee’s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designee’s authority to use the documents, materials, or other information in furtherance of a regulatory or legal action brought as part of the director or his designee’s official duties.</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w:t>
      </w:r>
      <w:r>
        <w:rPr>
          <w:rFonts w:cs="Times New Roman"/>
          <w:color w:val="000000" w:themeColor="text1"/>
          <w:u w:color="000000" w:themeColor="text1"/>
        </w:rPr>
        <w:tab/>
        <w:t>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In order to assist in the performance of the director’s duties, the director may:</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enter into agreements governing sharing and use of information consistent with subsections (B), (C), and (D).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Pr>
          <w:rFonts w:cs="Times New Roman"/>
          <w:color w:val="000000" w:themeColor="text1"/>
          <w:u w:color="000000" w:themeColor="text1"/>
        </w:rPr>
        <w:tab/>
        <w:t>A waiver of an applicable privilege or a claim of confidentiality in the documents, materials, or information shall not occur as a result of disclosure to the director under this section or as a result of sharing as authorized in subsection (D).”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Hearing may be requested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Section 38</w:t>
      </w:r>
      <w:r>
        <w:rPr>
          <w:rFonts w:cs="Times New Roman"/>
          <w:color w:val="000000" w:themeColor="text1"/>
          <w:u w:color="000000" w:themeColor="text1"/>
        </w:rPr>
        <w:noBreakHyphen/>
        <w:t>5</w:t>
      </w:r>
      <w:r>
        <w:rPr>
          <w:rFonts w:cs="Times New Roman"/>
          <w:color w:val="000000" w:themeColor="text1"/>
          <w:u w:color="000000" w:themeColor="text1"/>
        </w:rPr>
        <w:noBreakHyphen/>
        <w:t>120 of the 1976 Code is amended by adding at the end: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t>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Pr>
          <w:rFonts w:cs="Times New Roman"/>
          <w:color w:val="000000" w:themeColor="text1"/>
          <w:u w:color="000000" w:themeColor="text1"/>
        </w:rPr>
        <w:noBreakHyphen/>
        <w:t>3</w:t>
      </w:r>
      <w:r>
        <w:rPr>
          <w:rFonts w:cs="Times New Roman"/>
          <w:color w:val="000000" w:themeColor="text1"/>
          <w:u w:color="000000" w:themeColor="text1"/>
        </w:rPr>
        <w:noBreakHyphen/>
        <w:t>210 under the appellate procedures of the South Carolina Administrative Law Court, as provided by law.”</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Company Action Level Event</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Section 38</w:t>
      </w:r>
      <w:r>
        <w:rPr>
          <w:rFonts w:cs="Times New Roman"/>
          <w:color w:val="000000" w:themeColor="text1"/>
          <w:u w:color="000000" w:themeColor="text1"/>
        </w:rPr>
        <w:noBreakHyphen/>
        <w:t>9</w:t>
      </w:r>
      <w:r>
        <w:rPr>
          <w:rFonts w:cs="Times New Roman"/>
          <w:color w:val="000000" w:themeColor="text1"/>
          <w:u w:color="000000" w:themeColor="text1"/>
        </w:rPr>
        <w:noBreakHyphen/>
        <w:t>330(A) of the 1976 Code is amended to read: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cs="Times New Roman"/>
          <w:color w:val="000000" w:themeColor="text1"/>
          <w:u w:color="000000" w:themeColor="text1"/>
        </w:rPr>
        <w:tab/>
        <w:t>“</w:t>
      </w:r>
      <w:r>
        <w:rPr>
          <w:rFonts w:eastAsia="Times New Roman" w:cs="Times New Roman"/>
          <w:szCs w:val="24"/>
        </w:rPr>
        <w:t>(A)</w:t>
      </w:r>
      <w:r>
        <w:rPr>
          <w:rFonts w:eastAsia="Times New Roman" w:cs="Times New Roman"/>
          <w:szCs w:val="24"/>
        </w:rPr>
        <w:tab/>
        <w:t xml:space="preserve"> A ‘Company Action Level Event’ includes any of the following events: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filing of an RBC Report which indicates that Total Adjusted Capital is greater than, or equal to, Regulatory Action Level RBC, but is less than Company Action Level RBC;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filing of an RBC Report which indicates that a life and health insurer has Total Adjusted Capital which is greater than, or equal to, its Company Action Level RBC, but is less than the product of its Authorized Control Level RBC and 2.5 and has a negative trend;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 xml:space="preserve"> </w:t>
      </w:r>
      <w:r>
        <w:rPr>
          <w:rFonts w:eastAsia="Times New Roman" w:cs="Times New Roman"/>
          <w:szCs w:val="24"/>
        </w:rPr>
        <w:t>f</w:t>
      </w:r>
      <w:r>
        <w:rPr>
          <w:rFonts w:eastAsia="Times New Roman" w:cs="Times New Roman"/>
          <w:color w:val="000000" w:themeColor="text1"/>
          <w:u w:color="000000" w:themeColor="text1"/>
        </w:rPr>
        <w:t>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color w:val="000000" w:themeColor="text1"/>
          <w:u w:color="000000" w:themeColor="text1"/>
        </w:rPr>
        <w:tab/>
      </w:r>
      <w:r>
        <w:rPr>
          <w:rFonts w:eastAsia="Times New Roman" w:cs="Times New Roman"/>
          <w:color w:val="000000" w:themeColor="text1"/>
          <w:u w:color="000000" w:themeColor="text1"/>
        </w:rPr>
        <w:tab/>
        <w:t>(4)</w:t>
      </w:r>
      <w:r>
        <w:rPr>
          <w:rFonts w:eastAsia="Times New Roman" w:cs="Times New Roman"/>
          <w:color w:val="000000" w:themeColor="text1"/>
          <w:u w:color="000000" w:themeColor="text1"/>
        </w:rPr>
        <w:tab/>
        <w:t xml:space="preserve"> </w:t>
      </w:r>
      <w:r>
        <w:rPr>
          <w:rFonts w:eastAsia="Times New Roman" w:cs="Times New Roman"/>
          <w:szCs w:val="24"/>
        </w:rPr>
        <w:t>issuance of an Adjusted RBC Report that indicates the event in item (1), (2), or (3) of this subsection, provided that the insurer does not challenge the Adjusted RBC Report pursuant to Section 38</w:t>
      </w:r>
      <w:r>
        <w:rPr>
          <w:rFonts w:eastAsia="Times New Roman" w:cs="Times New Roman"/>
          <w:szCs w:val="24"/>
        </w:rPr>
        <w:noBreakHyphen/>
        <w:t>9</w:t>
      </w:r>
      <w:r>
        <w:rPr>
          <w:rFonts w:eastAsia="Times New Roman" w:cs="Times New Roman"/>
          <w:szCs w:val="24"/>
        </w:rPr>
        <w:noBreakHyphen/>
        <w:t>370.  If the insurer challenges an Adjusted RBC Report, then the Company Action Level Event occurs upon notification that an administrative law judge has rejected the challenge.”</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Acquisition condition</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4.</w:t>
      </w:r>
      <w:r>
        <w:rPr>
          <w:rFonts w:eastAsia="Times New Roman" w:cs="Times New Roman"/>
          <w:szCs w:val="24"/>
        </w:rPr>
        <w:tab/>
        <w:t>Section 38</w:t>
      </w:r>
      <w:r>
        <w:rPr>
          <w:rFonts w:eastAsia="Times New Roman" w:cs="Times New Roman"/>
          <w:szCs w:val="24"/>
        </w:rPr>
        <w:noBreakHyphen/>
        <w:t>21</w:t>
      </w:r>
      <w:r>
        <w:rPr>
          <w:rFonts w:eastAsia="Times New Roman" w:cs="Times New Roman"/>
          <w:szCs w:val="24"/>
        </w:rPr>
        <w:noBreakHyphen/>
        <w:t>95 of the 1976 Code is amended to read:</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4"/>
        </w:rPr>
        <w:tab/>
        <w:t>“</w:t>
      </w:r>
      <w:r>
        <w:rPr>
          <w:rFonts w:eastAsia="Times New Roman" w:cs="Times New Roman"/>
          <w:szCs w:val="20"/>
        </w:rPr>
        <w:t>Section 38</w:t>
      </w:r>
      <w:r>
        <w:rPr>
          <w:rFonts w:eastAsia="Times New Roman" w:cs="Times New Roman"/>
          <w:szCs w:val="20"/>
        </w:rPr>
        <w:noBreakHyphen/>
        <w:t>21</w:t>
      </w:r>
      <w:r>
        <w:rPr>
          <w:rFonts w:eastAsia="Times New Roman" w:cs="Times New Roman"/>
          <w:szCs w:val="20"/>
        </w:rPr>
        <w:noBreakHyphen/>
        <w:t>95.</w:t>
      </w:r>
      <w:r>
        <w:rPr>
          <w:rFonts w:eastAsia="Times New Roman" w:cs="Times New Roman"/>
          <w:szCs w:val="20"/>
        </w:rPr>
        <w:tab/>
        <w:t>(A)</w:t>
      </w:r>
      <w:r>
        <w:rPr>
          <w:rFonts w:eastAsia="Times New Roman" w:cs="Times New Roman"/>
          <w:szCs w:val="20"/>
        </w:rPr>
        <w:tab/>
        <w:t xml:space="preserve">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 xml:space="preserve">places business on behalf of an insured with a licensed insurer;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controls or seeks to control a domestic insurer as that term is defined in Section 38</w:t>
      </w:r>
      <w:r>
        <w:rPr>
          <w:rFonts w:eastAsia="Times New Roman" w:cs="Times New Roman"/>
          <w:szCs w:val="20"/>
        </w:rPr>
        <w:noBreakHyphen/>
        <w:t>21</w:t>
      </w:r>
      <w:r>
        <w:rPr>
          <w:rFonts w:eastAsia="Times New Roman" w:cs="Times New Roman"/>
          <w:szCs w:val="20"/>
        </w:rPr>
        <w:noBreakHyphen/>
        <w:t xml:space="preserve">10(2); and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(3)</w:t>
      </w:r>
      <w:r>
        <w:rPr>
          <w:rFonts w:eastAsia="Times New Roman" w:cs="Times New Roman"/>
          <w:szCs w:val="20"/>
        </w:rPr>
        <w:tab/>
        <w:t xml:space="preserve">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w:t>
      </w:r>
      <w:r>
        <w:rPr>
          <w:rFonts w:eastAsia="Times New Roman" w:cs="Times New Roman"/>
          <w:szCs w:val="20"/>
        </w:rPr>
        <w:tab/>
        <w:t xml:space="preserve">Approval of the acquisition of a domestic insurer, whether a member of a holding company system or not, by a controlling producer may not be approved unless the following requirements are met: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(1)</w:t>
      </w:r>
      <w:r>
        <w:rPr>
          <w:rFonts w:eastAsia="Times New Roman" w:cs="Times New Roman"/>
          <w:szCs w:val="20"/>
        </w:rPr>
        <w:tab/>
        <w:t xml:space="preserve">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(a)</w:t>
      </w:r>
      <w:r>
        <w:rPr>
          <w:rFonts w:eastAsia="Times New Roman" w:cs="Times New Roman"/>
          <w:szCs w:val="20"/>
        </w:rPr>
        <w:tab/>
        <w:t xml:space="preserve">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(b)</w:t>
      </w:r>
      <w:r>
        <w:rPr>
          <w:rFonts w:eastAsia="Times New Roman" w:cs="Times New Roman"/>
          <w:szCs w:val="20"/>
        </w:rPr>
        <w:tab/>
        <w:t xml:space="preserve">that the controlling producer shall render accounts to the controlled insurer detailing all material transactions, including information necessary to support all commissions, charges, and other fees received by, or owing to, the controlling producer;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(c)</w:t>
      </w:r>
      <w:r>
        <w:rPr>
          <w:rFonts w:eastAsia="Times New Roman" w:cs="Times New Roman"/>
          <w:szCs w:val="20"/>
        </w:rPr>
        <w:tab/>
        <w:t xml:space="preserve">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(d)</w:t>
      </w:r>
      <w:r>
        <w:rPr>
          <w:rFonts w:eastAsia="Times New Roman" w:cs="Times New Roman"/>
          <w:szCs w:val="20"/>
        </w:rPr>
        <w:tab/>
        <w:t xml:space="preserve">that all funds collected for the controlled insurer’s account must be held by the controlling producer in a fiduciary capacity, in one or more appropriately identified bank accounts in banks that are members of the Federal Reserve System;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(e)</w:t>
      </w:r>
      <w:r>
        <w:rPr>
          <w:rFonts w:eastAsia="Times New Roman" w:cs="Times New Roman"/>
          <w:szCs w:val="20"/>
        </w:rPr>
        <w:tab/>
        <w:t xml:space="preserve">that the controlling producer shall maintain separately identifiable records of business written for the controlled insurer;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(f)</w:t>
      </w:r>
      <w:r>
        <w:rPr>
          <w:rFonts w:eastAsia="Times New Roman" w:cs="Times New Roman"/>
          <w:szCs w:val="20"/>
        </w:rPr>
        <w:tab/>
        <w:t xml:space="preserve">that the contract may not be assigned in whole or in part by the controlling producer;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(g)</w:t>
      </w:r>
      <w:r>
        <w:rPr>
          <w:rFonts w:eastAsia="Times New Roman" w:cs="Times New Roman"/>
          <w:szCs w:val="20"/>
        </w:rPr>
        <w:tab/>
        <w:t xml:space="preserve">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(h)</w:t>
      </w:r>
      <w:r>
        <w:rPr>
          <w:rFonts w:eastAsia="Times New Roman" w:cs="Times New Roman"/>
          <w:szCs w:val="20"/>
        </w:rPr>
        <w:tab/>
        <w:t xml:space="preserve">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similar policy limits, and similar quality of business;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 xml:space="preserve"> (i)</w:t>
      </w:r>
      <w:r>
        <w:rPr>
          <w:rFonts w:eastAsia="Times New Roman" w:cs="Times New Roman"/>
          <w:szCs w:val="20"/>
        </w:rPr>
        <w:tab/>
        <w:t xml:space="preserve">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has been independently verified pursuant to subsection (B)(3)(a);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 xml:space="preserve"> (j)</w:t>
      </w:r>
      <w:r>
        <w:rPr>
          <w:rFonts w:eastAsia="Times New Roman" w:cs="Times New Roman"/>
          <w:szCs w:val="20"/>
        </w:rPr>
        <w:tab/>
        <w:t xml:space="preserve">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(k)</w:t>
      </w:r>
      <w:r>
        <w:rPr>
          <w:rFonts w:eastAsia="Times New Roman" w:cs="Times New Roman"/>
          <w:szCs w:val="20"/>
        </w:rPr>
        <w:tab/>
        <w:t xml:space="preserve">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 xml:space="preserve">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(3)(a)</w:t>
      </w:r>
      <w:r>
        <w:rPr>
          <w:rFonts w:eastAsia="Times New Roman" w:cs="Times New Roman"/>
          <w:szCs w:val="20"/>
        </w:rPr>
        <w:tab/>
        <w:t>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Pr>
          <w:rFonts w:eastAsia="Times New Roman" w:cs="Times New Roman"/>
          <w:szCs w:val="20"/>
        </w:rPr>
        <w:noBreakHyphen/>
        <w:t>end, including incurred but not reported losses, on business placed by the controlling producer.</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(b)</w:t>
      </w:r>
      <w:r>
        <w:rPr>
          <w:rFonts w:eastAsia="Times New Roman" w:cs="Times New Roman"/>
          <w:szCs w:val="20"/>
        </w:rPr>
        <w:tab/>
        <w:t xml:space="preserve">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(4)</w:t>
      </w:r>
      <w:r>
        <w:rPr>
          <w:rFonts w:eastAsia="Times New Roman" w:cs="Times New Roman"/>
          <w:szCs w:val="20"/>
        </w:rPr>
        <w:tab/>
        <w:t xml:space="preserve">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(5)(a)</w:t>
      </w:r>
      <w:r>
        <w:rPr>
          <w:rFonts w:eastAsia="Times New Roman" w:cs="Times New Roman"/>
          <w:szCs w:val="20"/>
        </w:rPr>
        <w:tab/>
        <w:t xml:space="preserve">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(b)</w:t>
      </w:r>
      <w:r>
        <w:rPr>
          <w:rFonts w:eastAsia="Times New Roman" w:cs="Times New Roman"/>
          <w:szCs w:val="20"/>
        </w:rPr>
        <w:tab/>
        <w:t xml:space="preserve">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(c)</w:t>
      </w:r>
      <w:r>
        <w:rPr>
          <w:rFonts w:eastAsia="Times New Roman" w:cs="Times New Roman"/>
          <w:szCs w:val="20"/>
        </w:rPr>
        <w:tab/>
        <w:t xml:space="preserve">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(d)</w:t>
      </w:r>
      <w:r>
        <w:rPr>
          <w:rFonts w:eastAsia="Times New Roman" w:cs="Times New Roman"/>
          <w:szCs w:val="20"/>
        </w:rPr>
        <w:tab/>
        <w:t xml:space="preserve">Nothing contained in this section affects the right of the director or his designee to impose other penalties provided for in the insurance law. </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t>(e)</w:t>
      </w:r>
      <w:r>
        <w:rPr>
          <w:rFonts w:eastAsia="Times New Roman" w:cs="Times New Roman"/>
          <w:szCs w:val="20"/>
        </w:rPr>
        <w:tab/>
        <w:t>Nothing contained in this section is intended to or in any manner alters or affects the rights of policyholders, claimants, creditors, or other third parties.”</w:t>
      </w:r>
    </w:p>
    <w:p w:rsidR="00503DB8" w:rsidRDefault="00503DB8"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03DB8" w:rsidRDefault="00503DB8" w:rsidP="00503DB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Time effective</w:t>
      </w:r>
    </w:p>
    <w:p w:rsidR="00503DB8" w:rsidRDefault="00503DB8" w:rsidP="00503DB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03DB8" w:rsidRDefault="00503DB8" w:rsidP="00503DB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5.</w:t>
      </w:r>
      <w:r>
        <w:rPr>
          <w:rFonts w:eastAsia="Times New Roman" w:cs="Times New Roman"/>
          <w:szCs w:val="20"/>
        </w:rPr>
        <w:tab/>
        <w:t>This act takes effect upon approval by the Governor.</w:t>
      </w:r>
    </w:p>
    <w:p w:rsidR="00503DB8" w:rsidRDefault="00503DB8" w:rsidP="00503DB8">
      <w:pPr>
        <w:tabs>
          <w:tab w:val="left" w:pos="1440"/>
          <w:tab w:val="left" w:pos="1800"/>
          <w:tab w:val="left" w:pos="2880"/>
        </w:tabs>
        <w:rPr>
          <w:color w:val="000000" w:themeColor="text1"/>
        </w:rPr>
      </w:pPr>
    </w:p>
    <w:p w:rsidR="00503DB8" w:rsidRDefault="00503DB8" w:rsidP="00503DB8">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03DB8" w:rsidRDefault="00503DB8" w:rsidP="00503DB8">
      <w:pPr>
        <w:tabs>
          <w:tab w:val="left" w:pos="1440"/>
          <w:tab w:val="left" w:pos="1800"/>
          <w:tab w:val="left" w:pos="2880"/>
        </w:tabs>
        <w:rPr>
          <w:color w:val="000000" w:themeColor="text1"/>
        </w:rPr>
      </w:pPr>
    </w:p>
    <w:p w:rsidR="00503DB8" w:rsidRDefault="00503DB8" w:rsidP="00503DB8">
      <w:pPr>
        <w:tabs>
          <w:tab w:val="left" w:pos="1440"/>
          <w:tab w:val="left" w:pos="1800"/>
          <w:tab w:val="left" w:pos="2880"/>
        </w:tabs>
        <w:rPr>
          <w:color w:val="000000" w:themeColor="text1"/>
        </w:rPr>
      </w:pPr>
      <w:r>
        <w:rPr>
          <w:color w:val="000000" w:themeColor="text1"/>
        </w:rPr>
        <w:t>Approved the 2</w:t>
      </w:r>
      <w:r w:rsidRPr="007F623B">
        <w:rPr>
          <w:color w:val="000000" w:themeColor="text1"/>
          <w:vertAlign w:val="superscript"/>
        </w:rPr>
        <w:t>nd</w:t>
      </w:r>
      <w:r>
        <w:rPr>
          <w:color w:val="000000" w:themeColor="text1"/>
        </w:rPr>
        <w:t xml:space="preserve"> day of June, 2009. </w:t>
      </w:r>
    </w:p>
    <w:p w:rsidR="00503DB8" w:rsidRDefault="00503DB8" w:rsidP="00503DB8">
      <w:pPr>
        <w:tabs>
          <w:tab w:val="left" w:pos="1440"/>
          <w:tab w:val="left" w:pos="1800"/>
          <w:tab w:val="left" w:pos="2880"/>
        </w:tabs>
        <w:jc w:val="center"/>
        <w:rPr>
          <w:color w:val="000000" w:themeColor="text1"/>
        </w:rPr>
      </w:pPr>
    </w:p>
    <w:p w:rsidR="00503DB8" w:rsidRDefault="00503DB8" w:rsidP="00503DB8">
      <w:pPr>
        <w:tabs>
          <w:tab w:val="left" w:pos="1440"/>
          <w:tab w:val="left" w:pos="1800"/>
          <w:tab w:val="left" w:pos="2880"/>
        </w:tabs>
        <w:jc w:val="center"/>
        <w:rPr>
          <w:color w:val="000000" w:themeColor="text1"/>
        </w:rPr>
      </w:pPr>
      <w:r>
        <w:rPr>
          <w:color w:val="000000" w:themeColor="text1"/>
        </w:rPr>
        <w:t>__________</w:t>
      </w:r>
    </w:p>
    <w:p w:rsidR="00CB436C" w:rsidRDefault="00CB436C" w:rsidP="0050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B436C" w:rsidSect="00A83C0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36C" w:rsidRDefault="00C734CE">
      <w:r>
        <w:separator/>
      </w:r>
    </w:p>
  </w:endnote>
  <w:endnote w:type="continuationSeparator" w:id="0">
    <w:p w:rsidR="00CB436C" w:rsidRDefault="00C7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0F" w:rsidRDefault="00D952B5">
    <w:pPr>
      <w:pStyle w:val="Footer"/>
      <w:tabs>
        <w:tab w:val="clear" w:pos="4680"/>
        <w:tab w:val="clear" w:pos="9360"/>
        <w:tab w:val="center" w:pos="3168"/>
      </w:tabs>
      <w:spacing w:before="120"/>
    </w:pPr>
    <w:r>
      <w:tab/>
    </w:r>
    <w:r w:rsidR="00F307F1">
      <w:fldChar w:fldCharType="begin"/>
    </w:r>
    <w:r>
      <w:instrText xml:space="preserve"> PAGE  \* MERGEFORMAT </w:instrText>
    </w:r>
    <w:r w:rsidR="00F307F1">
      <w:fldChar w:fldCharType="separate"/>
    </w:r>
    <w:r w:rsidR="00503DB8">
      <w:rPr>
        <w:noProof/>
      </w:rPr>
      <w:t>8</w:t>
    </w:r>
    <w:r w:rsidR="00F307F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0F" w:rsidRDefault="00766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36C" w:rsidRDefault="00C734CE">
      <w:r>
        <w:separator/>
      </w:r>
    </w:p>
  </w:footnote>
  <w:footnote w:type="continuationSeparator" w:id="0">
    <w:p w:rsidR="00CB436C" w:rsidRDefault="00C73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01"/>
    <w:docVar w:name="ActSecretary" w:val="Pair"/>
    <w:docVar w:name="ActSIdno" w:val="(311)  301DW09"/>
    <w:docVar w:name="clipname" w:val="301DW09"/>
    <w:docVar w:name="dvBillNumber" w:val="301"/>
    <w:docVar w:name="dvBillNumberPrefix" w:val="S"/>
    <w:docVar w:name="dvOriginalBody" w:val="Senate"/>
    <w:docVar w:name="OrigSENATEBillNo" w:val="301"/>
    <w:docVar w:name="SENATEACTFULLPATH" w:val="L:\COUNCIL\ACTS\301DW09.DOCX"/>
    <w:docVar w:name="WhatActtype" w:val="AN ACT"/>
  </w:docVars>
  <w:rsids>
    <w:rsidRoot w:val="00CB436C"/>
    <w:rsid w:val="00430173"/>
    <w:rsid w:val="00503DB8"/>
    <w:rsid w:val="005A5D14"/>
    <w:rsid w:val="006F3E30"/>
    <w:rsid w:val="007662A6"/>
    <w:rsid w:val="00A4618B"/>
    <w:rsid w:val="00A67E51"/>
    <w:rsid w:val="00C734CE"/>
    <w:rsid w:val="00CB436C"/>
    <w:rsid w:val="00D1558F"/>
    <w:rsid w:val="00D952B5"/>
    <w:rsid w:val="00DC0D17"/>
    <w:rsid w:val="00EF76AD"/>
    <w:rsid w:val="00F307F1"/>
    <w:rsid w:val="00FD5C80"/>
    <w:rsid w:val="00FF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B1F33E1B-1AFE-47F0-850B-156577B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6C"/>
    <w:pPr>
      <w:spacing w:before="0"/>
    </w:pPr>
  </w:style>
  <w:style w:type="paragraph" w:styleId="Heading1">
    <w:name w:val="heading 1"/>
    <w:basedOn w:val="Normal"/>
    <w:next w:val="Normal"/>
    <w:link w:val="Heading1Char"/>
    <w:uiPriority w:val="9"/>
    <w:qFormat/>
    <w:rsid w:val="00CB43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36C"/>
    <w:pPr>
      <w:tabs>
        <w:tab w:val="center" w:pos="4680"/>
        <w:tab w:val="right" w:pos="9360"/>
      </w:tabs>
    </w:pPr>
  </w:style>
  <w:style w:type="character" w:customStyle="1" w:styleId="HeaderChar">
    <w:name w:val="Header Char"/>
    <w:basedOn w:val="DefaultParagraphFont"/>
    <w:link w:val="Header"/>
    <w:uiPriority w:val="99"/>
    <w:semiHidden/>
    <w:rsid w:val="00CB436C"/>
  </w:style>
  <w:style w:type="paragraph" w:styleId="Footer">
    <w:name w:val="footer"/>
    <w:basedOn w:val="Normal"/>
    <w:link w:val="FooterChar"/>
    <w:uiPriority w:val="99"/>
    <w:semiHidden/>
    <w:unhideWhenUsed/>
    <w:rsid w:val="00CB436C"/>
    <w:pPr>
      <w:tabs>
        <w:tab w:val="center" w:pos="4680"/>
        <w:tab w:val="right" w:pos="9360"/>
      </w:tabs>
    </w:pPr>
  </w:style>
  <w:style w:type="character" w:customStyle="1" w:styleId="FooterChar">
    <w:name w:val="Footer Char"/>
    <w:basedOn w:val="DefaultParagraphFont"/>
    <w:link w:val="Footer"/>
    <w:uiPriority w:val="99"/>
    <w:semiHidden/>
    <w:rsid w:val="00CB436C"/>
  </w:style>
  <w:style w:type="table" w:styleId="TableGrid">
    <w:name w:val="Table Grid"/>
    <w:basedOn w:val="TableNormal"/>
    <w:uiPriority w:val="59"/>
    <w:rsid w:val="00CB43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B43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95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301_2009043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1-27-09.docx" TargetMode="External"/><Relationship Id="rId12" Type="http://schemas.openxmlformats.org/officeDocument/2006/relationships/hyperlink" Target="file:///h:\HJ%20Archive\2009\03-25-09.docx" TargetMode="External"/><Relationship Id="rId17" Type="http://schemas.openxmlformats.org/officeDocument/2006/relationships/hyperlink" Target="file:///p:\pprever\2009-10\301_20090311.docx" TargetMode="External"/><Relationship Id="rId2" Type="http://schemas.openxmlformats.org/officeDocument/2006/relationships/settings" Target="settings.xml"/><Relationship Id="rId16" Type="http://schemas.openxmlformats.org/officeDocument/2006/relationships/hyperlink" Target="file:///p:\pprever\2009-10\301_20090127.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1-27-09.docx" TargetMode="External"/><Relationship Id="rId11" Type="http://schemas.openxmlformats.org/officeDocument/2006/relationships/hyperlink" Target="file:///h:\HJ%20Archive\2009\03-25-09.docx" TargetMode="External"/><Relationship Id="rId5" Type="http://schemas.openxmlformats.org/officeDocument/2006/relationships/endnotes" Target="endnotes.xml"/><Relationship Id="rId15" Type="http://schemas.openxmlformats.org/officeDocument/2006/relationships/hyperlink" Target="file:///h:\HJ%20Archive\2009\05-13-09.docx" TargetMode="External"/><Relationship Id="rId10" Type="http://schemas.openxmlformats.org/officeDocument/2006/relationships/hyperlink" Target="file:///h:\SJ%20Archive\2009\03-24-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5-12-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3067</Words>
  <Characters>16679</Characters>
  <Application>Microsoft Office Word</Application>
  <DocSecurity>0</DocSecurity>
  <Lines>378</Lines>
  <Paragraphs>96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301: Insurer - South Carolina Legislature Online</dc:title>
  <dc:subject/>
  <dc:creator>SHARON PAIR</dc:creator>
  <cp:keywords/>
  <dc:description/>
  <cp:lastModifiedBy>N Cumfer</cp:lastModifiedBy>
  <cp:revision>6</cp:revision>
  <cp:lastPrinted>2009-05-13T21:11:00Z</cp:lastPrinted>
  <dcterms:created xsi:type="dcterms:W3CDTF">2009-08-04T14:56:00Z</dcterms:created>
  <dcterms:modified xsi:type="dcterms:W3CDTF">2014-11-24T14:57:00Z</dcterms:modified>
</cp:coreProperties>
</file>