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836" w:rsidRDefault="00994661">
      <w:pPr>
        <w:widowControl w:val="0"/>
        <w:jc w:val="center"/>
        <w:rPr>
          <w:rFonts w:cs="Times New Roman"/>
        </w:rPr>
      </w:pPr>
      <w:bookmarkStart w:id="0" w:name="_GoBack"/>
      <w:bookmarkEnd w:id="0"/>
      <w:r>
        <w:rPr>
          <w:rFonts w:cs="Times New Roman"/>
          <w:b/>
        </w:rPr>
        <w:t>South Carolina General Assembly</w:t>
      </w:r>
    </w:p>
    <w:p w:rsidR="00A85836" w:rsidRDefault="00994661">
      <w:pPr>
        <w:widowControl w:val="0"/>
        <w:jc w:val="center"/>
        <w:rPr>
          <w:rFonts w:cs="Times New Roman"/>
        </w:rPr>
      </w:pPr>
      <w:r>
        <w:rPr>
          <w:rFonts w:cs="Times New Roman"/>
        </w:rPr>
        <w:t>118th Session, 2009-2010</w:t>
      </w:r>
    </w:p>
    <w:p w:rsidR="00A85836" w:rsidRDefault="00A85836">
      <w:pPr>
        <w:widowControl w:val="0"/>
        <w:jc w:val="left"/>
        <w:rPr>
          <w:rFonts w:cs="Times New Roman"/>
        </w:rPr>
      </w:pPr>
    </w:p>
    <w:p w:rsidR="00A85836" w:rsidRDefault="00994661">
      <w:pPr>
        <w:widowControl w:val="0"/>
        <w:jc w:val="left"/>
        <w:rPr>
          <w:rFonts w:cs="Times New Roman"/>
          <w:b/>
        </w:rPr>
      </w:pPr>
      <w:r>
        <w:rPr>
          <w:rFonts w:cs="Times New Roman"/>
          <w:b/>
        </w:rPr>
        <w:t>S. 303</w:t>
      </w:r>
    </w:p>
    <w:p w:rsidR="00A85836" w:rsidRDefault="00A85836">
      <w:pPr>
        <w:widowControl w:val="0"/>
        <w:jc w:val="left"/>
        <w:rPr>
          <w:rFonts w:cs="Times New Roman"/>
          <w:b/>
        </w:rPr>
      </w:pPr>
    </w:p>
    <w:p w:rsidR="00A85836" w:rsidRDefault="00994661">
      <w:pPr>
        <w:widowControl w:val="0"/>
        <w:jc w:val="left"/>
        <w:rPr>
          <w:rFonts w:cs="Times New Roman"/>
        </w:rPr>
      </w:pPr>
      <w:r>
        <w:rPr>
          <w:rFonts w:cs="Times New Roman"/>
          <w:b/>
        </w:rPr>
        <w:t>STATUS INFORMATION</w:t>
      </w:r>
    </w:p>
    <w:p w:rsidR="00A85836" w:rsidRDefault="00A85836">
      <w:pPr>
        <w:widowControl w:val="0"/>
        <w:jc w:val="left"/>
        <w:rPr>
          <w:rFonts w:cs="Times New Roman"/>
        </w:rPr>
      </w:pPr>
    </w:p>
    <w:p w:rsidR="00A85836" w:rsidRDefault="00994661">
      <w:pPr>
        <w:widowControl w:val="0"/>
        <w:jc w:val="left"/>
        <w:rPr>
          <w:rFonts w:cs="Times New Roman"/>
        </w:rPr>
      </w:pPr>
      <w:r>
        <w:rPr>
          <w:rFonts w:cs="Times New Roman"/>
        </w:rPr>
        <w:t>General Bill</w:t>
      </w:r>
    </w:p>
    <w:p w:rsidR="00A85836" w:rsidRDefault="00994661">
      <w:pPr>
        <w:widowControl w:val="0"/>
        <w:jc w:val="left"/>
        <w:rPr>
          <w:rFonts w:cs="Times New Roman"/>
        </w:rPr>
      </w:pPr>
      <w:r>
        <w:rPr>
          <w:rFonts w:cs="Times New Roman"/>
        </w:rPr>
        <w:t>Sponsors: Senators Massey and Ryberg</w:t>
      </w:r>
    </w:p>
    <w:p w:rsidR="00A85836" w:rsidRDefault="00994661">
      <w:pPr>
        <w:widowControl w:val="0"/>
        <w:jc w:val="left"/>
        <w:rPr>
          <w:rFonts w:cs="Times New Roman"/>
        </w:rPr>
      </w:pPr>
      <w:r>
        <w:rPr>
          <w:rFonts w:cs="Times New Roman"/>
        </w:rPr>
        <w:t>Document Path: l:\council\bills\nbd\11145bh09.docx</w:t>
      </w:r>
    </w:p>
    <w:p w:rsidR="00A85836" w:rsidRDefault="00994661">
      <w:pPr>
        <w:widowControl w:val="0"/>
        <w:jc w:val="left"/>
        <w:rPr>
          <w:rFonts w:cs="Times New Roman"/>
        </w:rPr>
      </w:pPr>
      <w:r>
        <w:rPr>
          <w:rFonts w:cs="Times New Roman"/>
        </w:rPr>
        <w:t>Companion/Similar bill(s): 3316</w:t>
      </w:r>
    </w:p>
    <w:p w:rsidR="00A85836" w:rsidRDefault="00A85836">
      <w:pPr>
        <w:widowControl w:val="0"/>
        <w:jc w:val="left"/>
        <w:rPr>
          <w:rFonts w:cs="Times New Roman"/>
        </w:rPr>
      </w:pPr>
    </w:p>
    <w:p w:rsidR="00A85836" w:rsidRDefault="00994661">
      <w:pPr>
        <w:widowControl w:val="0"/>
        <w:jc w:val="left"/>
        <w:rPr>
          <w:rFonts w:cs="Times New Roman"/>
        </w:rPr>
      </w:pPr>
      <w:r>
        <w:rPr>
          <w:rFonts w:cs="Times New Roman"/>
        </w:rPr>
        <w:t>Introduced in the Senate on January 27, 2009</w:t>
      </w:r>
    </w:p>
    <w:p w:rsidR="00A85836" w:rsidRDefault="00994661">
      <w:pPr>
        <w:widowControl w:val="0"/>
        <w:jc w:val="left"/>
        <w:rPr>
          <w:rFonts w:cs="Times New Roman"/>
        </w:rPr>
      </w:pPr>
      <w:r>
        <w:rPr>
          <w:rFonts w:cs="Times New Roman"/>
        </w:rPr>
        <w:t xml:space="preserve">Currently residing in the Senate Committee on </w:t>
      </w:r>
      <w:r>
        <w:rPr>
          <w:rFonts w:cs="Times New Roman"/>
          <w:b/>
        </w:rPr>
        <w:t>Education</w:t>
      </w:r>
    </w:p>
    <w:p w:rsidR="00A85836" w:rsidRDefault="00A85836">
      <w:pPr>
        <w:widowControl w:val="0"/>
        <w:jc w:val="left"/>
        <w:rPr>
          <w:rFonts w:cs="Times New Roman"/>
        </w:rPr>
      </w:pPr>
    </w:p>
    <w:p w:rsidR="00A85836" w:rsidRDefault="00994661">
      <w:pPr>
        <w:widowControl w:val="0"/>
        <w:jc w:val="left"/>
        <w:rPr>
          <w:rFonts w:cs="Times New Roman"/>
        </w:rPr>
      </w:pPr>
      <w:r>
        <w:rPr>
          <w:rFonts w:cs="Times New Roman"/>
        </w:rPr>
        <w:t>Summary: Aiken Technical College Enterprise Campus Authority Act</w:t>
      </w:r>
    </w:p>
    <w:p w:rsidR="00A85836" w:rsidRDefault="00A85836">
      <w:pPr>
        <w:widowControl w:val="0"/>
        <w:jc w:val="left"/>
        <w:rPr>
          <w:rFonts w:cs="Times New Roman"/>
        </w:rPr>
      </w:pPr>
    </w:p>
    <w:p w:rsidR="00A85836" w:rsidRDefault="00A85836">
      <w:pPr>
        <w:widowControl w:val="0"/>
        <w:jc w:val="left"/>
        <w:rPr>
          <w:rFonts w:cs="Times New Roman"/>
        </w:rPr>
      </w:pPr>
    </w:p>
    <w:p w:rsidR="00A85836" w:rsidRDefault="0099466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85836" w:rsidRDefault="00A85836">
      <w:pPr>
        <w:widowControl w:val="0"/>
        <w:tabs>
          <w:tab w:val="center" w:pos="590"/>
          <w:tab w:val="center" w:pos="1440"/>
          <w:tab w:val="left" w:pos="1872"/>
          <w:tab w:val="left" w:pos="9187"/>
        </w:tabs>
        <w:jc w:val="left"/>
        <w:rPr>
          <w:rFonts w:cs="Times New Roman"/>
        </w:rPr>
      </w:pPr>
    </w:p>
    <w:p w:rsidR="00A85836" w:rsidRDefault="0099466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85836" w:rsidRDefault="00994661">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and read first time </w:t>
      </w:r>
      <w:hyperlink r:id="rId6" w:history="1">
        <w:r w:rsidRPr="00EE0925">
          <w:rPr>
            <w:rStyle w:val="Hyperlink"/>
            <w:rFonts w:cs="Times New Roman"/>
          </w:rPr>
          <w:t>SJ</w:t>
        </w:r>
      </w:hyperlink>
      <w:r>
        <w:rPr>
          <w:rFonts w:cs="Times New Roman"/>
        </w:rPr>
        <w:noBreakHyphen/>
        <w:t>13</w:t>
      </w:r>
    </w:p>
    <w:p w:rsidR="00A85836" w:rsidRDefault="00994661">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Education</w:t>
      </w:r>
      <w:r>
        <w:rPr>
          <w:rFonts w:cs="Times New Roman"/>
        </w:rPr>
        <w:t xml:space="preserve"> </w:t>
      </w:r>
      <w:hyperlink r:id="rId7" w:history="1">
        <w:r w:rsidRPr="00EE0925">
          <w:rPr>
            <w:rStyle w:val="Hyperlink"/>
            <w:rFonts w:cs="Times New Roman"/>
          </w:rPr>
          <w:t>SJ</w:t>
        </w:r>
      </w:hyperlink>
      <w:r>
        <w:rPr>
          <w:rFonts w:cs="Times New Roman"/>
        </w:rPr>
        <w:noBreakHyphen/>
        <w:t>13</w:t>
      </w:r>
    </w:p>
    <w:p w:rsidR="00A85836" w:rsidRDefault="00A85836">
      <w:pPr>
        <w:widowControl w:val="0"/>
        <w:tabs>
          <w:tab w:val="right" w:pos="1008"/>
          <w:tab w:val="left" w:pos="1152"/>
          <w:tab w:val="left" w:pos="1872"/>
          <w:tab w:val="left" w:pos="9187"/>
        </w:tabs>
        <w:ind w:left="2088" w:hanging="2088"/>
        <w:jc w:val="left"/>
        <w:rPr>
          <w:rFonts w:cs="Times New Roman"/>
        </w:rPr>
      </w:pPr>
    </w:p>
    <w:p w:rsidR="00A85836" w:rsidRDefault="00A85836">
      <w:pPr>
        <w:widowControl w:val="0"/>
        <w:tabs>
          <w:tab w:val="right" w:pos="1008"/>
          <w:tab w:val="left" w:pos="1152"/>
          <w:tab w:val="left" w:pos="1872"/>
          <w:tab w:val="left" w:pos="9187"/>
        </w:tabs>
        <w:ind w:left="2088" w:hanging="2088"/>
        <w:jc w:val="left"/>
        <w:rPr>
          <w:rFonts w:cs="Times New Roman"/>
        </w:rPr>
      </w:pPr>
    </w:p>
    <w:p w:rsidR="00A85836" w:rsidRDefault="00994661">
      <w:pPr>
        <w:widowControl w:val="0"/>
        <w:jc w:val="left"/>
        <w:rPr>
          <w:rFonts w:cs="Times New Roman"/>
        </w:rPr>
      </w:pPr>
      <w:r>
        <w:rPr>
          <w:rFonts w:cs="Times New Roman"/>
          <w:b/>
        </w:rPr>
        <w:t>VERSIONS OF THIS BILL</w:t>
      </w:r>
    </w:p>
    <w:p w:rsidR="00A85836" w:rsidRDefault="00A85836">
      <w:pPr>
        <w:widowControl w:val="0"/>
        <w:jc w:val="left"/>
        <w:rPr>
          <w:rFonts w:cs="Times New Roman"/>
        </w:rPr>
      </w:pPr>
    </w:p>
    <w:p w:rsidR="00A85836" w:rsidRDefault="00566D40">
      <w:pPr>
        <w:widowControl w:val="0"/>
        <w:jc w:val="left"/>
        <w:rPr>
          <w:rFonts w:cs="Times New Roman"/>
        </w:rPr>
      </w:pPr>
      <w:hyperlink r:id="rId8" w:history="1">
        <w:r w:rsidR="00994661">
          <w:rPr>
            <w:rStyle w:val="Hyperlink"/>
            <w:rFonts w:cs="Times New Roman"/>
          </w:rPr>
          <w:t>1/27/2009</w:t>
        </w:r>
      </w:hyperlink>
    </w:p>
    <w:p w:rsidR="00A85836" w:rsidRDefault="00A85836"/>
    <w:p w:rsidR="00A85836" w:rsidRDefault="00A85836">
      <w:pPr>
        <w:sectPr w:rsidR="00A85836">
          <w:pgSz w:w="12240" w:h="15840" w:code="1"/>
          <w:pgMar w:top="1080" w:right="1440" w:bottom="1080" w:left="1440" w:header="720" w:footer="720" w:gutter="0"/>
          <w:cols w:space="720"/>
          <w:noEndnote/>
          <w:docGrid w:linePitch="360"/>
        </w:sectPr>
      </w:pPr>
    </w:p>
    <w:p w:rsidR="00A85836" w:rsidRDefault="00A8583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DESIGNATING SECTION 59</w:t>
      </w:r>
      <w:r>
        <w:rPr>
          <w:rFonts w:eastAsia="Times New Roman" w:cs="Times New Roman"/>
          <w:szCs w:val="20"/>
        </w:rPr>
        <w:noBreakHyphen/>
        <w:t>53</w:t>
      </w:r>
      <w:r>
        <w:rPr>
          <w:rFonts w:eastAsia="Times New Roman" w:cs="Times New Roman"/>
          <w:szCs w:val="20"/>
        </w:rPr>
        <w:noBreakHyphen/>
        <w:t>1610 AS SUBARTICLE 1 AND ENTITLED “GENERAL PROVISIONS”; AND BY ADDING SUBARTICLE 2 TO ARTICLE 19, CHAPTER 53, TITLE 59 SO AS TO PROVIDE FOR THE CREATION OF THE AIKEN TECHNICAL COLLEGE ENTERPRISE CAMPUS AUTHORITY, AND TO PROVIDE FOR ITS POWERS AND DUTIES.</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53</w:t>
      </w:r>
      <w:r>
        <w:rPr>
          <w:rFonts w:eastAsia="Times New Roman" w:cs="Times New Roman"/>
          <w:szCs w:val="20"/>
        </w:rPr>
        <w:noBreakHyphen/>
        <w:t xml:space="preserve">1610, as contained in Article 19, Chapter 53, Title 59 of the 1976 Code is designated as Subarticle 1 </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entitled “General Provisions”.</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Article 19, Chapter 53, Title 59 of the 1976 Code is amended by adding:</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“Subarticle 2</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Aiken Technical College Enterprise Campus Authority Act</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Section 59</w:t>
      </w:r>
      <w:r>
        <w:rPr>
          <w:rFonts w:eastAsia="Times New Roman" w:cs="Times New Roman"/>
          <w:szCs w:val="20"/>
        </w:rPr>
        <w:noBreakHyphen/>
        <w:t>53</w:t>
      </w:r>
      <w:r>
        <w:rPr>
          <w:rFonts w:eastAsia="Times New Roman" w:cs="Times New Roman"/>
          <w:szCs w:val="20"/>
        </w:rPr>
        <w:noBreakHyphen/>
        <w:t>1650.</w:t>
      </w:r>
      <w:r>
        <w:rPr>
          <w:rFonts w:eastAsia="Times New Roman" w:cs="Times New Roman"/>
          <w:szCs w:val="20"/>
        </w:rPr>
        <w:tab/>
        <w:t xml:space="preserve"> </w:t>
      </w:r>
      <w:r>
        <w:rPr>
          <w:rFonts w:eastAsia="Times New Roman" w:cs="Times New Roman"/>
          <w:color w:val="000000"/>
          <w:szCs w:val="20"/>
        </w:rPr>
        <w:t>This subarticle may be cited as the ‘Aiken Technical College Enterprise Campus Authority Act’.</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59</w:t>
      </w:r>
      <w:r>
        <w:rPr>
          <w:rFonts w:eastAsia="Times New Roman" w:cs="Times New Roman"/>
          <w:color w:val="000000"/>
          <w:szCs w:val="20"/>
        </w:rPr>
        <w:noBreakHyphen/>
        <w:t>53</w:t>
      </w:r>
      <w:r>
        <w:rPr>
          <w:rFonts w:eastAsia="Times New Roman" w:cs="Times New Roman"/>
          <w:color w:val="000000"/>
          <w:szCs w:val="20"/>
        </w:rPr>
        <w:noBreakHyphen/>
        <w:t>1655.</w:t>
      </w:r>
      <w:r>
        <w:rPr>
          <w:rFonts w:eastAsia="Times New Roman" w:cs="Times New Roman"/>
          <w:color w:val="000000"/>
          <w:szCs w:val="20"/>
        </w:rPr>
        <w:tab/>
        <w:t xml:space="preserve"> As used in this subarticle, unless the context clearly requires otherwise:</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‘Authority’ means the Aiken Technical College Enterprise Campus Authority.</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‘Board’ means the governing body of the authority.</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lastRenderedPageBreak/>
        <w:tab/>
      </w:r>
      <w:r>
        <w:rPr>
          <w:rFonts w:eastAsia="Times New Roman" w:cs="Times New Roman"/>
          <w:color w:val="000000"/>
          <w:szCs w:val="20"/>
        </w:rPr>
        <w:tab/>
        <w:t>(3)</w:t>
      </w:r>
      <w:r>
        <w:rPr>
          <w:rFonts w:eastAsia="Times New Roman" w:cs="Times New Roman"/>
          <w:color w:val="000000"/>
          <w:szCs w:val="20"/>
        </w:rPr>
        <w:tab/>
        <w:t>‘Commission’ means the Aiken Technical College Commission.</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59</w:t>
      </w:r>
      <w:r>
        <w:rPr>
          <w:rFonts w:eastAsia="Times New Roman" w:cs="Times New Roman"/>
          <w:color w:val="000000"/>
          <w:szCs w:val="20"/>
        </w:rPr>
        <w:noBreakHyphen/>
        <w:t>53</w:t>
      </w:r>
      <w:r>
        <w:rPr>
          <w:rFonts w:eastAsia="Times New Roman" w:cs="Times New Roman"/>
          <w:color w:val="000000"/>
          <w:szCs w:val="20"/>
        </w:rPr>
        <w:noBreakHyphen/>
        <w:t>1660.</w:t>
      </w:r>
      <w:r>
        <w:rPr>
          <w:rFonts w:eastAsia="Times New Roman" w:cs="Times New Roman"/>
          <w:color w:val="000000"/>
          <w:szCs w:val="20"/>
        </w:rPr>
        <w:tab/>
        <w:t xml:space="preserve"> (A)</w:t>
      </w:r>
      <w:r>
        <w:rPr>
          <w:rFonts w:eastAsia="Times New Roman" w:cs="Times New Roman"/>
          <w:color w:val="000000"/>
          <w:szCs w:val="20"/>
        </w:rPr>
        <w:tab/>
        <w:t>There is created a body politic and corporate known as the Aiken Technical College Enterprise Campus Authority.  The authority is declared to be a public instrumentality of the State and the exercise by it of any power conferred in this subarticle is the performance of an essential public function.  The authority is governed by a board, which consists of members of the commission.  All members serve ex officio.  Persons serving as chairman, vice</w:t>
      </w:r>
      <w:r>
        <w:rPr>
          <w:rFonts w:eastAsia="Times New Roman" w:cs="Times New Roman"/>
          <w:color w:val="000000"/>
          <w:szCs w:val="20"/>
        </w:rPr>
        <w:noBreakHyphen/>
        <w:t>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(B)</w:t>
      </w:r>
      <w:r>
        <w:rPr>
          <w:rFonts w:eastAsia="Times New Roman" w:cs="Times New Roman"/>
          <w:color w:val="000000"/>
          <w:szCs w:val="20"/>
        </w:rPr>
        <w:tab/>
        <w:t>The board shall exercise the powers of the authority.</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(C)</w:t>
      </w:r>
      <w:r>
        <w:rPr>
          <w:rFonts w:eastAsia="Times New Roman" w:cs="Times New Roman"/>
          <w:color w:val="000000"/>
          <w:szCs w:val="20"/>
        </w:rPr>
        <w:tab/>
        <w:t>The purpose of the authority is to provide for the management, development, and operation of the Enterprise Campus.</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59</w:t>
      </w:r>
      <w:r>
        <w:rPr>
          <w:rFonts w:eastAsia="Times New Roman" w:cs="Times New Roman"/>
          <w:color w:val="000000"/>
          <w:szCs w:val="20"/>
        </w:rPr>
        <w:noBreakHyphen/>
        <w:t>53</w:t>
      </w:r>
      <w:r>
        <w:rPr>
          <w:rFonts w:eastAsia="Times New Roman" w:cs="Times New Roman"/>
          <w:color w:val="000000"/>
          <w:szCs w:val="20"/>
        </w:rPr>
        <w:noBreakHyphen/>
        <w:t>1665.</w:t>
      </w:r>
      <w:r>
        <w:rPr>
          <w:rFonts w:eastAsia="Times New Roman" w:cs="Times New Roman"/>
          <w:color w:val="000000"/>
          <w:szCs w:val="20"/>
        </w:rPr>
        <w:tab/>
        <w:t xml:space="preserve"> (A)</w:t>
      </w:r>
      <w:r>
        <w:rPr>
          <w:rFonts w:eastAsia="Times New Roman" w:cs="Times New Roman"/>
          <w:color w:val="000000"/>
          <w:szCs w:val="20"/>
        </w:rPr>
        <w:tab/>
        <w:t>In addition to the powers contained elsewhere in this subarticle, the board has power necessary, useful, or appropriate to operate and administer the authority, to effectuate the purposes of the authority, and to perform its other functions including, but not limited to, the power to:</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have perpetual succession;</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sue and be sued in its own name;</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adopt, promulgate, amend, and repeal bylaws, not inconsistent with provisions in this subarticle for the administration of the authority’s affairs and the implementation of its functions;</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(4)</w:t>
      </w:r>
      <w:r>
        <w:rPr>
          <w:rFonts w:eastAsia="Times New Roman" w:cs="Times New Roman"/>
          <w:color w:val="000000"/>
          <w:szCs w:val="20"/>
        </w:rPr>
        <w:tab/>
        <w:t>have a seal and alter it at its pleasure, although the failure to affix the seal does not affect the validity of an instrument executed on behalf of the authority;</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(5)</w:t>
      </w:r>
      <w:r>
        <w:rPr>
          <w:rFonts w:eastAsia="Times New Roman" w:cs="Times New Roman"/>
          <w:color w:val="000000"/>
          <w:szCs w:val="20"/>
        </w:rPr>
        <w:tab/>
        <w:t>make and execute contracts and all other instruments and agreements necessary or convenient for the performance of its duties and the exercise of its powers and functions;</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(6)</w:t>
      </w:r>
      <w:r>
        <w:rPr>
          <w:rFonts w:eastAsia="Times New Roman" w:cs="Times New Roman"/>
          <w:color w:val="000000"/>
          <w:szCs w:val="20"/>
        </w:rP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(7)</w:t>
      </w:r>
      <w:r>
        <w:rPr>
          <w:rFonts w:eastAsia="Times New Roman" w:cs="Times New Roman"/>
          <w:color w:val="000000"/>
          <w:szCs w:val="2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(8)</w:t>
      </w:r>
      <w:r>
        <w:rPr>
          <w:rFonts w:eastAsia="Times New Roman" w:cs="Times New Roman"/>
          <w:color w:val="000000"/>
          <w:szCs w:val="20"/>
        </w:rPr>
        <w:tab/>
        <w:t>procure insurance against any loss in connection with its property, assets, or activities, including insurance against liability for its acts or the acts of its employees or agents;</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(9)</w:t>
      </w:r>
      <w:r>
        <w:rPr>
          <w:rFonts w:eastAsia="Times New Roman" w:cs="Times New Roman"/>
          <w:color w:val="000000"/>
          <w:szCs w:val="2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(10)</w:t>
      </w:r>
      <w:r>
        <w:rPr>
          <w:rFonts w:eastAsia="Times New Roman" w:cs="Times New Roman"/>
          <w:color w:val="000000"/>
          <w:szCs w:val="20"/>
        </w:rPr>
        <w:tab/>
        <w:t>receive, accept, and expend from any source including any federal, state, or other public agency and any private agency, person, or other entity appropriated funds, donations, loans, grants, aid, or contributions of money, property, labor, or other things of value;</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(11)</w:t>
      </w:r>
      <w:r>
        <w:rPr>
          <w:rFonts w:eastAsia="Times New Roman" w:cs="Times New Roman"/>
          <w:color w:val="000000"/>
          <w:szCs w:val="20"/>
        </w:rPr>
        <w:tab/>
        <w:t>invest or reinvest its funds as provided in Section 11</w:t>
      </w:r>
      <w:r>
        <w:rPr>
          <w:rFonts w:eastAsia="Times New Roman" w:cs="Times New Roman"/>
          <w:color w:val="000000"/>
          <w:szCs w:val="20"/>
        </w:rPr>
        <w:noBreakHyphen/>
        <w:t>9</w:t>
      </w:r>
      <w:r>
        <w:rPr>
          <w:rFonts w:eastAsia="Times New Roman" w:cs="Times New Roman"/>
          <w:color w:val="000000"/>
          <w:szCs w:val="20"/>
        </w:rPr>
        <w:noBreakHyphen/>
        <w:t>660;</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(12)</w:t>
      </w:r>
      <w:r>
        <w:rPr>
          <w:rFonts w:eastAsia="Times New Roman" w:cs="Times New Roman"/>
          <w:color w:val="000000"/>
          <w:szCs w:val="20"/>
        </w:rP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(13)</w:t>
      </w:r>
      <w:r>
        <w:rPr>
          <w:rFonts w:eastAsia="Times New Roman" w:cs="Times New Roman"/>
          <w:color w:val="000000"/>
          <w:szCs w:val="20"/>
        </w:rPr>
        <w:tab/>
        <w:t>fix and revise when necessary and charge and collect rates, fees, rents, and charges for the use of, and for the services furnished by it, for all or any portion of the Enterprise Campus;</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(14)</w:t>
      </w:r>
      <w:r>
        <w:rPr>
          <w:rFonts w:eastAsia="Times New Roman" w:cs="Times New Roman"/>
          <w:color w:val="000000"/>
          <w:szCs w:val="2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(15)</w:t>
      </w:r>
      <w:r>
        <w:rPr>
          <w:rFonts w:eastAsia="Times New Roman" w:cs="Times New Roman"/>
          <w:color w:val="000000"/>
          <w:szCs w:val="20"/>
        </w:rP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(16)</w:t>
      </w:r>
      <w:r>
        <w:rPr>
          <w:rFonts w:eastAsia="Times New Roman" w:cs="Times New Roman"/>
          <w:color w:val="000000"/>
          <w:szCs w:val="20"/>
        </w:rPr>
        <w:tab/>
        <w:t>appoint and provide for advisory committees;</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(17)</w:t>
      </w:r>
      <w:r>
        <w:rPr>
          <w:rFonts w:eastAsia="Times New Roman" w:cs="Times New Roman"/>
          <w:color w:val="000000"/>
          <w:szCs w:val="20"/>
        </w:rPr>
        <w:tab/>
        <w:t>establish not</w:t>
      </w:r>
      <w:r>
        <w:rPr>
          <w:rFonts w:eastAsia="Times New Roman" w:cs="Times New Roman"/>
          <w:color w:val="000000"/>
          <w:szCs w:val="20"/>
        </w:rPr>
        <w:noBreakHyphen/>
        <w:t>for</w:t>
      </w:r>
      <w:r>
        <w:rPr>
          <w:rFonts w:eastAsia="Times New Roman" w:cs="Times New Roman"/>
          <w:color w:val="000000"/>
          <w:szCs w:val="20"/>
        </w:rPr>
        <w:noBreakHyphen/>
        <w:t>profit corporations in accordance with applicable corporate law and with the powers as provided by the applicable corporate law; and</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(18)</w:t>
      </w:r>
      <w:r>
        <w:rPr>
          <w:rFonts w:eastAsia="Times New Roman" w:cs="Times New Roman"/>
          <w:color w:val="000000"/>
          <w:szCs w:val="20"/>
        </w:rPr>
        <w:tab/>
        <w:t>do all other things necessary or convenient to exercise the powers granted or reasonably implied by this subarticle.</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powers contained in this subarticle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53</w:t>
      </w:r>
      <w:r>
        <w:rPr>
          <w:rFonts w:eastAsia="Times New Roman" w:cs="Times New Roman"/>
          <w:szCs w:val="20"/>
        </w:rPr>
        <w:noBreakHyphen/>
        <w:t>1670.</w:t>
      </w:r>
      <w:r>
        <w:rPr>
          <w:rFonts w:eastAsia="Times New Roman" w:cs="Times New Roman"/>
          <w:szCs w:val="20"/>
        </w:rPr>
        <w:tab/>
        <w:t>(A)</w:t>
      </w:r>
      <w:r>
        <w:rPr>
          <w:rFonts w:eastAsia="Times New Roman" w:cs="Times New Roman"/>
          <w:szCs w:val="20"/>
        </w:rPr>
        <w:tab/>
        <w:t>The authority must comply with the provisions of Chapter 47 of Title 2; provided, however, only the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unto the authority such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herein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deemed null and void as a matter of public policy.</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The authority shall adhere to fire, life, and safety codes as required by the Office of State Engineer.  In the leasing of property and the granting of easements and rights</w:t>
      </w:r>
      <w:r>
        <w:rPr>
          <w:rFonts w:eastAsia="Times New Roman" w:cs="Times New Roman"/>
          <w:szCs w:val="20"/>
        </w:rPr>
        <w:noBreakHyphen/>
        <w:t>of</w:t>
      </w:r>
      <w:r>
        <w:rPr>
          <w:rFonts w:eastAsia="Times New Roman" w:cs="Times New Roman"/>
          <w:szCs w:val="20"/>
        </w:rPr>
        <w:noBreakHyphen/>
        <w:t>way by the authority, the authority is exempt from the provisions of Sections 1</w:t>
      </w:r>
      <w:r>
        <w:rPr>
          <w:rFonts w:eastAsia="Times New Roman" w:cs="Times New Roman"/>
          <w:szCs w:val="20"/>
        </w:rPr>
        <w:noBreakHyphen/>
        <w:t>11</w:t>
      </w:r>
      <w:r>
        <w:rPr>
          <w:rFonts w:eastAsia="Times New Roman" w:cs="Times New Roman"/>
          <w:szCs w:val="20"/>
        </w:rPr>
        <w:noBreakHyphen/>
        <w:t>55, 1</w:t>
      </w:r>
      <w:r>
        <w:rPr>
          <w:rFonts w:eastAsia="Times New Roman" w:cs="Times New Roman"/>
          <w:szCs w:val="20"/>
        </w:rPr>
        <w:noBreakHyphen/>
        <w:t>11</w:t>
      </w:r>
      <w:r>
        <w:rPr>
          <w:rFonts w:eastAsia="Times New Roman" w:cs="Times New Roman"/>
          <w:szCs w:val="20"/>
        </w:rPr>
        <w:noBreakHyphen/>
        <w:t>56, and 10</w:t>
      </w:r>
      <w:r>
        <w:rPr>
          <w:rFonts w:eastAsia="Times New Roman" w:cs="Times New Roman"/>
          <w:szCs w:val="20"/>
        </w:rPr>
        <w:noBreakHyphen/>
        <w:t>1</w:t>
      </w:r>
      <w:r>
        <w:rPr>
          <w:rFonts w:eastAsia="Times New Roman" w:cs="Times New Roman"/>
          <w:szCs w:val="20"/>
        </w:rPr>
        <w:noBreakHyphen/>
        <w:t>130.</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For all matters associated with the Enterprise Campus, the authority is exempt from the South Carolina Consolidated Procurement Code, however, the authority shall adopt a procurement policy requiring competitive solicitations, and the policy must be filed with and approved by the State Budget and Control Board.  The policy must include provisions for audit and recertification.</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The authority is exempt from all regulations and general laws governing disposal of surplus government property.</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Section 59</w:t>
      </w:r>
      <w:r>
        <w:rPr>
          <w:rFonts w:eastAsia="Times New Roman" w:cs="Times New Roman"/>
          <w:szCs w:val="20"/>
        </w:rPr>
        <w:noBreakHyphen/>
        <w:t>53</w:t>
      </w:r>
      <w:r>
        <w:rPr>
          <w:rFonts w:eastAsia="Times New Roman" w:cs="Times New Roman"/>
          <w:szCs w:val="20"/>
        </w:rPr>
        <w:noBreakHyphen/>
        <w:t>1675.</w:t>
      </w:r>
      <w:r>
        <w:rPr>
          <w:rFonts w:eastAsia="Times New Roman" w:cs="Times New Roman"/>
          <w:szCs w:val="20"/>
        </w:rPr>
        <w:tab/>
        <w:t xml:space="preserve"> </w:t>
      </w:r>
      <w:r>
        <w:rPr>
          <w:rFonts w:eastAsia="Times New Roman" w:cs="Times New Roman"/>
          <w:color w:val="000000"/>
          <w:szCs w:val="20"/>
        </w:rPr>
        <w:t>(A)</w:t>
      </w:r>
      <w:r>
        <w:rPr>
          <w:rFonts w:eastAsia="Times New Roman" w:cs="Times New Roman"/>
          <w:color w:val="000000"/>
          <w:szCs w:val="20"/>
        </w:rPr>
        <w:tab/>
        <w:t>The authority may issue bonds in the same manner and for the same purposes, including the purposes of the authority, pursuant to the provisions of the Higher Education Revenue Bond Act, as provided in Chapter 147, Title 59.</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(B)</w:t>
      </w:r>
      <w:r>
        <w:rPr>
          <w:rFonts w:eastAsia="Times New Roman" w:cs="Times New Roman"/>
          <w:color w:val="000000"/>
          <w:szCs w:val="20"/>
        </w:rPr>
        <w:tab/>
        <w:t>The issuance by the authority of any bonds, notes, or other obligations or indebtedness is subject to the approval of them by resolution of the State Budget and Control Board.</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(C)</w:t>
      </w:r>
      <w:r>
        <w:rPr>
          <w:rFonts w:eastAsia="Times New Roman" w:cs="Times New Roman"/>
          <w:color w:val="000000"/>
          <w:szCs w:val="20"/>
        </w:rPr>
        <w:tab/>
        <w:t>Bonds, notes, or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subarticle.  The bonds, notes, or other obligations or indebtedness of the authority do not constitute an indebtedness of the State within the meaning of any state constitutional or statutory limitation.  A member of the board or a person executing bonds, notes, or other obligations or indebtedness of the authority is not liable personally on the bonds, notes, or other obligations or indebtedness by reason of their issuance or execution.  Each bond, note, or other obligation or indebtedness must contain on its face a statement to the effect that:</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(1)</w:t>
      </w:r>
      <w:r>
        <w:rPr>
          <w:rFonts w:eastAsia="Times New Roman" w:cs="Times New Roman"/>
          <w:color w:val="000000"/>
          <w:szCs w:val="20"/>
        </w:rPr>
        <w:tab/>
        <w:t>neither the State, the commission, nor any of the state’s political subdivisions, nor the authority is obligated to pay the principal of or interest on the bond or other costs incident to the bond except from the revenue, money, or property of the authority pledged;</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(2)</w:t>
      </w:r>
      <w:r>
        <w:rPr>
          <w:rFonts w:eastAsia="Times New Roman" w:cs="Times New Roman"/>
          <w:color w:val="000000"/>
          <w:szCs w:val="20"/>
        </w:rPr>
        <w:tab/>
        <w:t xml:space="preserve">neither the full faith and credit, nor the taxing power of the State, nor any of its political subdivisions, is pledged to the payment of the principal of or interest on the bond, note, or other obligation or indebtedness; and </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r>
      <w:r>
        <w:rPr>
          <w:rFonts w:eastAsia="Times New Roman" w:cs="Times New Roman"/>
          <w:color w:val="000000"/>
          <w:szCs w:val="20"/>
        </w:rPr>
        <w:tab/>
        <w:t>(3)</w:t>
      </w:r>
      <w:r>
        <w:rPr>
          <w:rFonts w:eastAsia="Times New Roman" w:cs="Times New Roman"/>
          <w:color w:val="000000"/>
          <w:szCs w:val="20"/>
        </w:rPr>
        <w:tab/>
        <w:t>the authority does not have taxing power.</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szCs w:val="20"/>
        </w:rPr>
        <w:tab/>
        <w:t>Section 59</w:t>
      </w:r>
      <w:r>
        <w:rPr>
          <w:rFonts w:eastAsia="Times New Roman" w:cs="Times New Roman"/>
          <w:szCs w:val="20"/>
        </w:rPr>
        <w:noBreakHyphen/>
        <w:t>53</w:t>
      </w:r>
      <w:r>
        <w:rPr>
          <w:rFonts w:eastAsia="Times New Roman" w:cs="Times New Roman"/>
          <w:szCs w:val="20"/>
        </w:rPr>
        <w:noBreakHyphen/>
        <w:t>1680.</w:t>
      </w:r>
      <w:r>
        <w:rPr>
          <w:rFonts w:eastAsia="Times New Roman" w:cs="Times New Roman"/>
          <w:szCs w:val="20"/>
        </w:rPr>
        <w:tab/>
        <w:t xml:space="preserve"> </w:t>
      </w:r>
      <w:r>
        <w:rPr>
          <w:rFonts w:eastAsia="Times New Roman" w:cs="Times New Roman"/>
          <w:color w:val="000000"/>
          <w:szCs w:val="2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Section 59</w:t>
      </w:r>
      <w:r>
        <w:rPr>
          <w:rFonts w:eastAsia="Times New Roman" w:cs="Times New Roman"/>
          <w:color w:val="000000"/>
          <w:szCs w:val="20"/>
        </w:rPr>
        <w:noBreakHyphen/>
        <w:t>53</w:t>
      </w:r>
      <w:r>
        <w:rPr>
          <w:rFonts w:eastAsia="Times New Roman" w:cs="Times New Roman"/>
          <w:color w:val="000000"/>
          <w:szCs w:val="20"/>
        </w:rPr>
        <w:noBreakHyphen/>
        <w:t>1685.</w:t>
      </w:r>
      <w:r>
        <w:rPr>
          <w:rFonts w:eastAsia="Times New Roman" w:cs="Times New Roman"/>
          <w:color w:val="000000"/>
          <w:szCs w:val="20"/>
        </w:rPr>
        <w:tab/>
        <w:t xml:space="preserve"> The authority in performing an essential governmental function in the exercise of the powers conferred upon it is not required to pay any taxes or assessments upon any property or upon any of its activities or operations or the income from them, or any taxes or assessments upon any property acquired or used by the authority or upon the income from them.  Any bonds, notes, or other obligations or indebtedness issued by the authority and the income from them is free from taxation and assessment of every kind by the State and by the local governments and other political subdivisions of the State.”</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85836" w:rsidRDefault="00A85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rsidR="00A85836" w:rsidRDefault="00994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85836" w:rsidSect="00A858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5836" w:rsidRDefault="00994661">
      <w:r>
        <w:separator/>
      </w:r>
    </w:p>
  </w:endnote>
  <w:endnote w:type="continuationSeparator" w:id="0">
    <w:p w:rsidR="00A85836" w:rsidRDefault="00994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84F0EC-DF55-4B9D-96B9-FEC6BF49B1BE}"/>
    <w:embedBold r:id="rId2" w:fontKey="{AAD4799C-E2FF-4836-8A3C-99689AFA78FA}"/>
  </w:font>
  <w:font w:name="Calibri">
    <w:panose1 w:val="020F0502020204030204"/>
    <w:charset w:val="00"/>
    <w:family w:val="swiss"/>
    <w:pitch w:val="variable"/>
    <w:sig w:usb0="E10002FF" w:usb1="4000ACFF" w:usb2="00000009" w:usb3="00000000" w:csb0="0000019F" w:csb1="00000000"/>
    <w:embedRegular r:id="rId3" w:fontKey="{DCB38CA8-D237-415D-B69F-2BAA2C8BD09A}"/>
    <w:embedBold r:id="rId4" w:fontKey="{00FA1506-D6C0-4195-A62E-02320218B995}"/>
  </w:font>
  <w:font w:name="Tahoma">
    <w:panose1 w:val="020B0604030504040204"/>
    <w:charset w:val="00"/>
    <w:family w:val="swiss"/>
    <w:pitch w:val="variable"/>
    <w:sig w:usb0="21002A87" w:usb1="80000000" w:usb2="00000008" w:usb3="00000000" w:csb0="000101FF" w:csb1="00000000"/>
    <w:embedRegular r:id="rId5" w:fontKey="{38F003C3-1E86-4186-95DF-56AE8DBD022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9922441-F168-47F5-8303-178722D590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836" w:rsidRDefault="00994661">
    <w:pPr>
      <w:pStyle w:val="Footer"/>
      <w:tabs>
        <w:tab w:val="clear" w:pos="4680"/>
        <w:tab w:val="clear" w:pos="9360"/>
        <w:tab w:val="center" w:pos="2995"/>
      </w:tabs>
      <w:spacing w:before="120"/>
    </w:pPr>
    <w:r>
      <w:t>[303]</w:t>
    </w:r>
    <w:r>
      <w:tab/>
    </w:r>
    <w:r w:rsidR="00566D40">
      <w:fldChar w:fldCharType="begin"/>
    </w:r>
    <w:r w:rsidR="00566D40">
      <w:instrText xml:space="preserve"> PAGE  \* MERGEFORMAT </w:instrText>
    </w:r>
    <w:r w:rsidR="00566D40">
      <w:fldChar w:fldCharType="separate"/>
    </w:r>
    <w:r w:rsidR="00566D40">
      <w:rPr>
        <w:noProof/>
      </w:rPr>
      <w:t>1</w:t>
    </w:r>
    <w:r w:rsidR="00566D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5836" w:rsidRDefault="00994661">
      <w:r>
        <w:separator/>
      </w:r>
    </w:p>
  </w:footnote>
  <w:footnote w:type="continuationSeparator" w:id="0">
    <w:p w:rsidR="00A85836" w:rsidRDefault="009946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85836"/>
    <w:rsid w:val="00002C6B"/>
    <w:rsid w:val="00566D40"/>
    <w:rsid w:val="00612299"/>
    <w:rsid w:val="00845DE0"/>
    <w:rsid w:val="00994661"/>
    <w:rsid w:val="00A85836"/>
    <w:rsid w:val="00EE0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DD192F-FF61-4789-B317-C1C25079F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8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85836"/>
    <w:rPr>
      <w:szCs w:val="21"/>
    </w:rPr>
  </w:style>
  <w:style w:type="character" w:customStyle="1" w:styleId="PlainTextChar">
    <w:name w:val="Plain Text Char"/>
    <w:basedOn w:val="DefaultParagraphFont"/>
    <w:link w:val="PlainText"/>
    <w:uiPriority w:val="99"/>
    <w:rsid w:val="00A85836"/>
    <w:rPr>
      <w:szCs w:val="21"/>
    </w:rPr>
  </w:style>
  <w:style w:type="paragraph" w:styleId="BodyText">
    <w:name w:val="Body Text"/>
    <w:basedOn w:val="Normal"/>
    <w:link w:val="BodyTextChar"/>
    <w:uiPriority w:val="99"/>
    <w:locked/>
    <w:rsid w:val="00A85836"/>
  </w:style>
  <w:style w:type="character" w:customStyle="1" w:styleId="BodyTextChar">
    <w:name w:val="Body Text Char"/>
    <w:basedOn w:val="DefaultParagraphFont"/>
    <w:link w:val="BodyText"/>
    <w:uiPriority w:val="99"/>
    <w:rsid w:val="00A85836"/>
  </w:style>
  <w:style w:type="paragraph" w:styleId="BalloonText">
    <w:name w:val="Balloon Text"/>
    <w:next w:val="Normal"/>
    <w:link w:val="BalloonTextChar"/>
    <w:uiPriority w:val="99"/>
    <w:unhideWhenUsed/>
    <w:rsid w:val="00A85836"/>
    <w:rPr>
      <w:rFonts w:cs="Tahoma"/>
      <w:szCs w:val="16"/>
    </w:rPr>
  </w:style>
  <w:style w:type="character" w:customStyle="1" w:styleId="BalloonTextChar">
    <w:name w:val="Balloon Text Char"/>
    <w:basedOn w:val="DefaultParagraphFont"/>
    <w:link w:val="BalloonText"/>
    <w:uiPriority w:val="99"/>
    <w:rsid w:val="00A85836"/>
    <w:rPr>
      <w:rFonts w:cs="Tahoma"/>
      <w:szCs w:val="16"/>
    </w:rPr>
  </w:style>
  <w:style w:type="paragraph" w:styleId="NormalWeb">
    <w:name w:val="Normal (Web)"/>
    <w:basedOn w:val="Normal"/>
    <w:next w:val="Normal"/>
    <w:semiHidden/>
    <w:locked/>
    <w:rsid w:val="00A8583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85836"/>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85836"/>
    <w:rPr>
      <w:rFonts w:eastAsia="Times New Roman" w:cs="Times New Roman"/>
      <w:szCs w:val="20"/>
    </w:rPr>
  </w:style>
  <w:style w:type="paragraph" w:styleId="Header">
    <w:name w:val="header"/>
    <w:basedOn w:val="Normal"/>
    <w:link w:val="HeaderChar"/>
    <w:uiPriority w:val="99"/>
    <w:semiHidden/>
    <w:unhideWhenUsed/>
    <w:locked/>
    <w:rsid w:val="00A85836"/>
    <w:pPr>
      <w:tabs>
        <w:tab w:val="center" w:pos="4680"/>
        <w:tab w:val="right" w:pos="9360"/>
      </w:tabs>
    </w:pPr>
  </w:style>
  <w:style w:type="character" w:customStyle="1" w:styleId="HeaderChar">
    <w:name w:val="Header Char"/>
    <w:basedOn w:val="DefaultParagraphFont"/>
    <w:link w:val="Header"/>
    <w:uiPriority w:val="99"/>
    <w:semiHidden/>
    <w:rsid w:val="00A85836"/>
  </w:style>
  <w:style w:type="character" w:styleId="LineNumber">
    <w:name w:val="line number"/>
    <w:basedOn w:val="DefaultParagraphFont"/>
    <w:uiPriority w:val="99"/>
    <w:semiHidden/>
    <w:unhideWhenUsed/>
    <w:locked/>
    <w:rsid w:val="00A85836"/>
  </w:style>
  <w:style w:type="character" w:styleId="Hyperlink">
    <w:name w:val="Hyperlink"/>
    <w:basedOn w:val="DefaultParagraphFont"/>
    <w:uiPriority w:val="99"/>
    <w:unhideWhenUsed/>
    <w:locked/>
    <w:rsid w:val="00A858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03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2091</Words>
  <Characters>11174</Characters>
  <Application>Microsoft Office Word</Application>
  <DocSecurity>0</DocSecurity>
  <Lines>278</Lines>
  <Paragraphs>69</Paragraphs>
  <ScaleCrop>false</ScaleCrop>
  <Company>Project Management</Company>
  <LinksUpToDate>false</LinksUpToDate>
  <CharactersWithSpaces>13292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303: Aiken Technical College Enterprise Campus Authority Act - South Carolina Legislature Online</dc:title>
  <dc:subject/>
  <dc:creator>NSC</dc:creator>
  <cp:keywords/>
  <dc:description/>
  <cp:lastModifiedBy>N Cumfer</cp:lastModifiedBy>
  <cp:revision>10</cp:revision>
  <dcterms:created xsi:type="dcterms:W3CDTF">2009-01-27T17:49:00Z</dcterms:created>
  <dcterms:modified xsi:type="dcterms:W3CDTF">2014-11-24T14:57:00Z</dcterms:modified>
</cp:coreProperties>
</file>