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397" w:rsidRDefault="00734828">
      <w:pPr>
        <w:widowControl w:val="0"/>
        <w:jc w:val="center"/>
      </w:pPr>
      <w:bookmarkStart w:id="0" w:name="_GoBack"/>
      <w:bookmarkEnd w:id="0"/>
      <w:r>
        <w:rPr>
          <w:b/>
        </w:rPr>
        <w:t>South Carolina General Assembly</w:t>
      </w:r>
    </w:p>
    <w:p w:rsidR="00302397" w:rsidRDefault="00734828">
      <w:pPr>
        <w:widowControl w:val="0"/>
        <w:jc w:val="center"/>
      </w:pPr>
      <w:r>
        <w:t>118th Session, 2009-2010</w:t>
      </w:r>
    </w:p>
    <w:p w:rsidR="00302397" w:rsidRDefault="00302397">
      <w:pPr>
        <w:widowControl w:val="0"/>
        <w:jc w:val="left"/>
      </w:pPr>
    </w:p>
    <w:p w:rsidR="00302397" w:rsidRDefault="00734828">
      <w:pPr>
        <w:widowControl w:val="0"/>
        <w:jc w:val="left"/>
        <w:rPr>
          <w:b/>
        </w:rPr>
      </w:pPr>
      <w:r>
        <w:rPr>
          <w:b/>
        </w:rPr>
        <w:t>H. 3147</w:t>
      </w:r>
    </w:p>
    <w:p w:rsidR="00302397" w:rsidRDefault="00302397">
      <w:pPr>
        <w:widowControl w:val="0"/>
        <w:jc w:val="left"/>
        <w:rPr>
          <w:b/>
        </w:rPr>
      </w:pPr>
    </w:p>
    <w:p w:rsidR="00302397" w:rsidRDefault="00734828">
      <w:pPr>
        <w:widowControl w:val="0"/>
        <w:jc w:val="left"/>
      </w:pPr>
      <w:r>
        <w:rPr>
          <w:b/>
        </w:rPr>
        <w:t>STATUS INFORMATION</w:t>
      </w:r>
    </w:p>
    <w:p w:rsidR="00302397" w:rsidRDefault="00302397">
      <w:pPr>
        <w:widowControl w:val="0"/>
        <w:jc w:val="left"/>
      </w:pPr>
    </w:p>
    <w:p w:rsidR="00302397" w:rsidRDefault="00734828">
      <w:pPr>
        <w:widowControl w:val="0"/>
        <w:jc w:val="left"/>
      </w:pPr>
      <w:r>
        <w:t>General Bill</w:t>
      </w:r>
    </w:p>
    <w:p w:rsidR="00302397" w:rsidRDefault="00734828">
      <w:pPr>
        <w:widowControl w:val="0"/>
        <w:jc w:val="left"/>
      </w:pPr>
      <w:r>
        <w:t>Sponsors: Reps. G.R. Smith, Funderburk, Daning, Allison, G.M. Smith, Harrison, Wylie, Littlejohn, Bingham, Hamilton, Stavrinakis, T.R. Young, E.H. Pitts, McEachern, Ballentine, Gunn, Bedingfield, Millwood and Hutto</w:t>
      </w:r>
    </w:p>
    <w:p w:rsidR="00302397" w:rsidRDefault="00734828">
      <w:pPr>
        <w:widowControl w:val="0"/>
        <w:jc w:val="left"/>
      </w:pPr>
      <w:r>
        <w:t>Document Path: l:\council\bills\gjk\20031sd09.docx</w:t>
      </w:r>
    </w:p>
    <w:p w:rsidR="00302397" w:rsidRDefault="00734828">
      <w:pPr>
        <w:widowControl w:val="0"/>
        <w:jc w:val="left"/>
      </w:pPr>
      <w:r>
        <w:t>Companion/Similar bill(s): 208</w:t>
      </w:r>
    </w:p>
    <w:p w:rsidR="00302397" w:rsidRDefault="00302397">
      <w:pPr>
        <w:widowControl w:val="0"/>
        <w:jc w:val="left"/>
      </w:pPr>
    </w:p>
    <w:p w:rsidR="00302397" w:rsidRDefault="00734828">
      <w:pPr>
        <w:widowControl w:val="0"/>
        <w:jc w:val="left"/>
      </w:pPr>
      <w:r>
        <w:t>Introduced in the House on January 13, 2009</w:t>
      </w:r>
    </w:p>
    <w:p w:rsidR="00302397" w:rsidRDefault="00734828">
      <w:pPr>
        <w:widowControl w:val="0"/>
        <w:jc w:val="left"/>
      </w:pPr>
      <w:r>
        <w:t>Introduced in the Senate on April 1, 2009</w:t>
      </w:r>
    </w:p>
    <w:p w:rsidR="00302397" w:rsidRDefault="00734828">
      <w:pPr>
        <w:widowControl w:val="0"/>
        <w:jc w:val="left"/>
      </w:pPr>
      <w:r>
        <w:t>Last Amended on March 31, 2009</w:t>
      </w:r>
    </w:p>
    <w:p w:rsidR="00302397" w:rsidRDefault="00734828">
      <w:pPr>
        <w:widowControl w:val="0"/>
        <w:jc w:val="left"/>
      </w:pPr>
      <w:r>
        <w:t xml:space="preserve">Currently residing in the Senate Committee on </w:t>
      </w:r>
      <w:r>
        <w:rPr>
          <w:b/>
        </w:rPr>
        <w:t>Judiciary</w:t>
      </w:r>
    </w:p>
    <w:p w:rsidR="00302397" w:rsidRDefault="00302397">
      <w:pPr>
        <w:widowControl w:val="0"/>
        <w:jc w:val="left"/>
      </w:pPr>
    </w:p>
    <w:p w:rsidR="00302397" w:rsidRDefault="00734828">
      <w:pPr>
        <w:widowControl w:val="0"/>
        <w:jc w:val="left"/>
      </w:pPr>
      <w:r>
        <w:t>Summary: Restructuring Act</w:t>
      </w:r>
    </w:p>
    <w:p w:rsidR="00302397" w:rsidRDefault="00302397">
      <w:pPr>
        <w:widowControl w:val="0"/>
        <w:jc w:val="left"/>
      </w:pPr>
    </w:p>
    <w:p w:rsidR="00302397" w:rsidRDefault="00302397">
      <w:pPr>
        <w:widowControl w:val="0"/>
        <w:jc w:val="left"/>
      </w:pPr>
    </w:p>
    <w:p w:rsidR="00302397" w:rsidRDefault="00734828">
      <w:pPr>
        <w:widowControl w:val="0"/>
        <w:tabs>
          <w:tab w:val="center" w:pos="590"/>
          <w:tab w:val="center" w:pos="1440"/>
          <w:tab w:val="left" w:pos="1872"/>
          <w:tab w:val="left" w:pos="9187"/>
        </w:tabs>
        <w:jc w:val="left"/>
      </w:pPr>
      <w:r>
        <w:rPr>
          <w:b/>
        </w:rPr>
        <w:t>HISTORY OF LEGISLATIVE ACTIONS</w:t>
      </w:r>
    </w:p>
    <w:p w:rsidR="00302397" w:rsidRDefault="00302397">
      <w:pPr>
        <w:widowControl w:val="0"/>
        <w:tabs>
          <w:tab w:val="center" w:pos="590"/>
          <w:tab w:val="center" w:pos="1440"/>
          <w:tab w:val="left" w:pos="1872"/>
          <w:tab w:val="left" w:pos="9187"/>
        </w:tabs>
        <w:jc w:val="left"/>
      </w:pPr>
    </w:p>
    <w:p w:rsidR="00302397" w:rsidRDefault="0073482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2366" w:rsidRDefault="009B2366" w:rsidP="009B2366">
      <w:pPr>
        <w:widowControl w:val="0"/>
        <w:tabs>
          <w:tab w:val="right" w:pos="1008"/>
          <w:tab w:val="left" w:pos="1152"/>
          <w:tab w:val="left" w:pos="1872"/>
          <w:tab w:val="left" w:pos="9187"/>
        </w:tabs>
        <w:ind w:left="2088" w:hanging="2088"/>
        <w:jc w:val="left"/>
      </w:pPr>
      <w:r>
        <w:tab/>
        <w:t>12/16/2008</w:t>
      </w:r>
      <w:r>
        <w:tab/>
        <w:t>House</w:t>
      </w:r>
      <w:r>
        <w:tab/>
      </w:r>
      <w:r w:rsidRPr="005F70F8">
        <w:t>Prefiled</w:t>
      </w:r>
    </w:p>
    <w:p w:rsidR="009B2366" w:rsidRDefault="009B2366" w:rsidP="009B2366">
      <w:pPr>
        <w:widowControl w:val="0"/>
        <w:tabs>
          <w:tab w:val="right" w:pos="1008"/>
          <w:tab w:val="left" w:pos="1152"/>
          <w:tab w:val="left" w:pos="1872"/>
          <w:tab w:val="left" w:pos="9187"/>
        </w:tabs>
        <w:ind w:left="2088" w:hanging="2088"/>
        <w:jc w:val="left"/>
      </w:pPr>
      <w:r>
        <w:tab/>
        <w:t>12/16/2008</w:t>
      </w:r>
      <w:r>
        <w:tab/>
        <w:t>House</w:t>
      </w:r>
      <w:r>
        <w:tab/>
      </w:r>
      <w:r w:rsidRPr="005F70F8">
        <w:t xml:space="preserve">Referred to Committee on </w:t>
      </w:r>
      <w:r w:rsidRPr="005F70F8">
        <w:rPr>
          <w:b/>
        </w:rPr>
        <w:t>Judiciary</w:t>
      </w:r>
    </w:p>
    <w:p w:rsidR="009B2366" w:rsidRDefault="009B2366" w:rsidP="009B2366">
      <w:pPr>
        <w:widowControl w:val="0"/>
        <w:tabs>
          <w:tab w:val="right" w:pos="1008"/>
          <w:tab w:val="left" w:pos="1152"/>
          <w:tab w:val="left" w:pos="1872"/>
          <w:tab w:val="left" w:pos="9187"/>
        </w:tabs>
        <w:ind w:left="2088" w:hanging="2088"/>
        <w:jc w:val="left"/>
      </w:pPr>
      <w:r>
        <w:tab/>
        <w:t>1/13/2009</w:t>
      </w:r>
      <w:r>
        <w:tab/>
        <w:t>House</w:t>
      </w:r>
      <w:r>
        <w:tab/>
      </w:r>
      <w:r w:rsidRPr="005F70F8">
        <w:t xml:space="preserve">Introduced and read first time </w:t>
      </w:r>
      <w:hyperlink r:id="rId8" w:history="1">
        <w:r w:rsidRPr="00107595">
          <w:rPr>
            <w:rStyle w:val="Hyperlink"/>
          </w:rPr>
          <w:t>HJ</w:t>
        </w:r>
      </w:hyperlink>
      <w:r>
        <w:noBreakHyphen/>
      </w:r>
      <w:r w:rsidRPr="005F70F8">
        <w:t>65</w:t>
      </w:r>
    </w:p>
    <w:p w:rsidR="009B2366" w:rsidRDefault="009B2366" w:rsidP="009B2366">
      <w:pPr>
        <w:widowControl w:val="0"/>
        <w:tabs>
          <w:tab w:val="right" w:pos="1008"/>
          <w:tab w:val="left" w:pos="1152"/>
          <w:tab w:val="left" w:pos="1872"/>
          <w:tab w:val="left" w:pos="9187"/>
        </w:tabs>
        <w:ind w:left="2088" w:hanging="2088"/>
        <w:jc w:val="left"/>
      </w:pPr>
      <w:r>
        <w:tab/>
        <w:t>1/13/2009</w:t>
      </w:r>
      <w:r>
        <w:tab/>
        <w:t>House</w:t>
      </w:r>
      <w:r>
        <w:tab/>
      </w:r>
      <w:r w:rsidRPr="005F70F8">
        <w:t xml:space="preserve">Referred to Committee on </w:t>
      </w:r>
      <w:r w:rsidRPr="005F70F8">
        <w:rPr>
          <w:b/>
        </w:rPr>
        <w:t>Judiciary</w:t>
      </w:r>
      <w:r w:rsidRPr="005F70F8">
        <w:t xml:space="preserve"> </w:t>
      </w:r>
      <w:hyperlink r:id="rId9" w:history="1">
        <w:r w:rsidRPr="00107595">
          <w:rPr>
            <w:rStyle w:val="Hyperlink"/>
          </w:rPr>
          <w:t>HJ</w:t>
        </w:r>
      </w:hyperlink>
      <w:r>
        <w:noBreakHyphen/>
      </w:r>
      <w:r w:rsidRPr="005F70F8">
        <w:t>66</w:t>
      </w:r>
    </w:p>
    <w:p w:rsidR="009B2366" w:rsidRDefault="009B2366" w:rsidP="009B2366">
      <w:pPr>
        <w:widowControl w:val="0"/>
        <w:tabs>
          <w:tab w:val="right" w:pos="1008"/>
          <w:tab w:val="left" w:pos="1152"/>
          <w:tab w:val="left" w:pos="1872"/>
          <w:tab w:val="left" w:pos="9187"/>
        </w:tabs>
        <w:ind w:left="2088" w:hanging="2088"/>
        <w:jc w:val="left"/>
      </w:pPr>
      <w:r>
        <w:tab/>
        <w:t>1/15/2009</w:t>
      </w:r>
      <w:r>
        <w:tab/>
        <w:t>House</w:t>
      </w:r>
      <w:r>
        <w:tab/>
      </w:r>
      <w:r w:rsidRPr="005F70F8">
        <w:t>Member(s) request name added as sponsor: Stavrinakis</w:t>
      </w:r>
    </w:p>
    <w:p w:rsidR="009B2366" w:rsidRDefault="009B2366" w:rsidP="009B2366">
      <w:pPr>
        <w:widowControl w:val="0"/>
        <w:tabs>
          <w:tab w:val="right" w:pos="1008"/>
          <w:tab w:val="left" w:pos="1152"/>
          <w:tab w:val="left" w:pos="1872"/>
          <w:tab w:val="left" w:pos="9187"/>
        </w:tabs>
        <w:ind w:left="2088" w:hanging="2088"/>
        <w:jc w:val="left"/>
      </w:pPr>
      <w:r>
        <w:tab/>
        <w:t>1/27/2009</w:t>
      </w:r>
      <w:r>
        <w:tab/>
        <w:t>House</w:t>
      </w:r>
      <w:r>
        <w:tab/>
      </w:r>
      <w:r w:rsidRPr="005F70F8">
        <w:t>Member(s) request name added as sponsor: T.R.Young</w:t>
      </w:r>
    </w:p>
    <w:p w:rsidR="009B2366" w:rsidRDefault="009B2366" w:rsidP="009B2366">
      <w:pPr>
        <w:widowControl w:val="0"/>
        <w:tabs>
          <w:tab w:val="right" w:pos="1008"/>
          <w:tab w:val="left" w:pos="1152"/>
          <w:tab w:val="left" w:pos="1872"/>
          <w:tab w:val="left" w:pos="9187"/>
        </w:tabs>
        <w:ind w:left="2088" w:hanging="2088"/>
        <w:jc w:val="left"/>
      </w:pPr>
      <w:r>
        <w:tab/>
        <w:t>1/28/2009</w:t>
      </w:r>
      <w:r>
        <w:tab/>
        <w:t>House</w:t>
      </w:r>
      <w:r>
        <w:tab/>
      </w:r>
      <w:r w:rsidRPr="005F70F8">
        <w:t>Member(s)</w:t>
      </w:r>
      <w:r>
        <w:t xml:space="preserve"> request name added as sponsor: </w:t>
      </w:r>
      <w:r w:rsidRPr="005F70F8">
        <w:t>E.H.Pitts, McEachern</w:t>
      </w:r>
    </w:p>
    <w:p w:rsidR="009B2366" w:rsidRDefault="009B2366" w:rsidP="009B2366">
      <w:pPr>
        <w:widowControl w:val="0"/>
        <w:tabs>
          <w:tab w:val="right" w:pos="1008"/>
          <w:tab w:val="left" w:pos="1152"/>
          <w:tab w:val="left" w:pos="1872"/>
          <w:tab w:val="left" w:pos="9187"/>
        </w:tabs>
        <w:ind w:left="2088" w:hanging="2088"/>
        <w:jc w:val="left"/>
      </w:pPr>
      <w:r>
        <w:tab/>
        <w:t>1/29/2009</w:t>
      </w:r>
      <w:r>
        <w:tab/>
        <w:t>House</w:t>
      </w:r>
      <w:r>
        <w:tab/>
      </w:r>
      <w:r w:rsidRPr="005F70F8">
        <w:t>Member(s) request name added as sponsor: Ballentine</w:t>
      </w:r>
    </w:p>
    <w:p w:rsidR="009B2366" w:rsidRDefault="009B2366" w:rsidP="009B2366">
      <w:pPr>
        <w:widowControl w:val="0"/>
        <w:tabs>
          <w:tab w:val="right" w:pos="1008"/>
          <w:tab w:val="left" w:pos="1152"/>
          <w:tab w:val="left" w:pos="1872"/>
          <w:tab w:val="left" w:pos="9187"/>
        </w:tabs>
        <w:ind w:left="2088" w:hanging="2088"/>
        <w:jc w:val="left"/>
      </w:pPr>
      <w:r>
        <w:tab/>
        <w:t>2/5/2009</w:t>
      </w:r>
      <w:r>
        <w:tab/>
        <w:t>House</w:t>
      </w:r>
      <w:r>
        <w:tab/>
      </w:r>
      <w:r w:rsidRPr="005F70F8">
        <w:t>Member(s) request name added as sponsor: Gunn</w:t>
      </w:r>
    </w:p>
    <w:p w:rsidR="009B2366" w:rsidRDefault="009B2366" w:rsidP="009B2366">
      <w:pPr>
        <w:widowControl w:val="0"/>
        <w:tabs>
          <w:tab w:val="right" w:pos="1008"/>
          <w:tab w:val="left" w:pos="1152"/>
          <w:tab w:val="left" w:pos="1872"/>
          <w:tab w:val="left" w:pos="9187"/>
        </w:tabs>
        <w:ind w:left="2088" w:hanging="2088"/>
        <w:jc w:val="left"/>
      </w:pPr>
      <w:r>
        <w:tab/>
        <w:t>3/25/2009</w:t>
      </w:r>
      <w:r>
        <w:tab/>
        <w:t>House</w:t>
      </w:r>
      <w:r>
        <w:tab/>
      </w:r>
      <w:r w:rsidRPr="005F70F8">
        <w:t>Committee r</w:t>
      </w:r>
      <w:r>
        <w:t xml:space="preserve">eport: Favorable with amendment </w:t>
      </w:r>
      <w:r w:rsidRPr="005F70F8">
        <w:rPr>
          <w:b/>
        </w:rPr>
        <w:t>Judiciary</w:t>
      </w:r>
      <w:r w:rsidRPr="005F70F8">
        <w:t xml:space="preserve"> </w:t>
      </w:r>
      <w:hyperlink r:id="rId10" w:history="1">
        <w:r w:rsidRPr="00107595">
          <w:rPr>
            <w:rStyle w:val="Hyperlink"/>
          </w:rPr>
          <w:t>HJ</w:t>
        </w:r>
      </w:hyperlink>
      <w:r>
        <w:noBreakHyphen/>
      </w:r>
      <w:r w:rsidRPr="005F70F8">
        <w:t>5</w:t>
      </w:r>
    </w:p>
    <w:p w:rsidR="009B2366" w:rsidRDefault="009B2366" w:rsidP="009B2366">
      <w:pPr>
        <w:widowControl w:val="0"/>
        <w:tabs>
          <w:tab w:val="right" w:pos="1008"/>
          <w:tab w:val="left" w:pos="1152"/>
          <w:tab w:val="left" w:pos="1872"/>
          <w:tab w:val="left" w:pos="9187"/>
        </w:tabs>
        <w:ind w:left="2088" w:hanging="2088"/>
        <w:jc w:val="left"/>
      </w:pPr>
      <w:r>
        <w:tab/>
        <w:t>3/26/2009</w:t>
      </w:r>
      <w:r>
        <w:tab/>
        <w:t>House</w:t>
      </w:r>
      <w:r>
        <w:tab/>
      </w:r>
      <w:r w:rsidRPr="005F70F8">
        <w:t>Member(s)</w:t>
      </w:r>
      <w:r>
        <w:t xml:space="preserve"> request name added as sponsor: </w:t>
      </w:r>
      <w:r w:rsidRPr="005F70F8">
        <w:t>Bedingfield, Millwood</w:t>
      </w:r>
    </w:p>
    <w:p w:rsidR="009B2366" w:rsidRDefault="009B2366" w:rsidP="009B2366">
      <w:pPr>
        <w:widowControl w:val="0"/>
        <w:tabs>
          <w:tab w:val="right" w:pos="1008"/>
          <w:tab w:val="left" w:pos="1152"/>
          <w:tab w:val="left" w:pos="1872"/>
          <w:tab w:val="left" w:pos="9187"/>
        </w:tabs>
        <w:ind w:left="2088" w:hanging="2088"/>
        <w:jc w:val="left"/>
      </w:pPr>
      <w:r>
        <w:tab/>
        <w:t>3/31/2009</w:t>
      </w:r>
      <w:r>
        <w:tab/>
        <w:t>House</w:t>
      </w:r>
      <w:r>
        <w:tab/>
      </w:r>
      <w:r w:rsidRPr="005F70F8">
        <w:t>Member(s) request name added as sponsor: Hutto</w:t>
      </w:r>
    </w:p>
    <w:p w:rsidR="009B2366" w:rsidRDefault="009B2366" w:rsidP="009B2366">
      <w:pPr>
        <w:widowControl w:val="0"/>
        <w:tabs>
          <w:tab w:val="right" w:pos="1008"/>
          <w:tab w:val="left" w:pos="1152"/>
          <w:tab w:val="left" w:pos="1872"/>
          <w:tab w:val="left" w:pos="9187"/>
        </w:tabs>
        <w:ind w:left="2088" w:hanging="2088"/>
        <w:jc w:val="left"/>
      </w:pPr>
      <w:r>
        <w:tab/>
        <w:t>3/31/2009</w:t>
      </w:r>
      <w:r>
        <w:tab/>
        <w:t>House</w:t>
      </w:r>
      <w:r>
        <w:tab/>
      </w:r>
      <w:r w:rsidRPr="005F70F8">
        <w:t xml:space="preserve">Amended </w:t>
      </w:r>
      <w:hyperlink r:id="rId11" w:history="1">
        <w:r w:rsidRPr="00107595">
          <w:rPr>
            <w:rStyle w:val="Hyperlink"/>
          </w:rPr>
          <w:t>HJ</w:t>
        </w:r>
      </w:hyperlink>
      <w:r>
        <w:noBreakHyphen/>
      </w:r>
      <w:r w:rsidRPr="005F70F8">
        <w:t>46</w:t>
      </w:r>
    </w:p>
    <w:p w:rsidR="009B2366" w:rsidRDefault="009B2366" w:rsidP="009B2366">
      <w:pPr>
        <w:widowControl w:val="0"/>
        <w:tabs>
          <w:tab w:val="right" w:pos="1008"/>
          <w:tab w:val="left" w:pos="1152"/>
          <w:tab w:val="left" w:pos="1872"/>
          <w:tab w:val="left" w:pos="9187"/>
        </w:tabs>
        <w:ind w:left="2088" w:hanging="2088"/>
        <w:jc w:val="left"/>
      </w:pPr>
      <w:r>
        <w:tab/>
        <w:t>3/31/2009</w:t>
      </w:r>
      <w:r>
        <w:tab/>
        <w:t>House</w:t>
      </w:r>
      <w:r>
        <w:tab/>
      </w:r>
      <w:r w:rsidRPr="005F70F8">
        <w:t xml:space="preserve">Read second time </w:t>
      </w:r>
      <w:hyperlink r:id="rId12" w:history="1">
        <w:r w:rsidRPr="00107595">
          <w:rPr>
            <w:rStyle w:val="Hyperlink"/>
          </w:rPr>
          <w:t>HJ</w:t>
        </w:r>
      </w:hyperlink>
      <w:r>
        <w:noBreakHyphen/>
      </w:r>
      <w:r w:rsidRPr="005F70F8">
        <w:t>54</w:t>
      </w:r>
    </w:p>
    <w:p w:rsidR="009B2366" w:rsidRDefault="009B2366" w:rsidP="009B2366">
      <w:pPr>
        <w:widowControl w:val="0"/>
        <w:tabs>
          <w:tab w:val="right" w:pos="1008"/>
          <w:tab w:val="left" w:pos="1152"/>
          <w:tab w:val="left" w:pos="1872"/>
          <w:tab w:val="left" w:pos="9187"/>
        </w:tabs>
        <w:ind w:left="2088" w:hanging="2088"/>
        <w:jc w:val="left"/>
      </w:pPr>
      <w:r>
        <w:tab/>
        <w:t>4/1/2009</w:t>
      </w:r>
      <w:r>
        <w:tab/>
        <w:t>House</w:t>
      </w:r>
      <w:r>
        <w:tab/>
      </w:r>
      <w:r w:rsidRPr="005F70F8">
        <w:t xml:space="preserve">Read third time and sent to Senate </w:t>
      </w:r>
      <w:hyperlink r:id="rId13" w:history="1">
        <w:r w:rsidRPr="00107595">
          <w:rPr>
            <w:rStyle w:val="Hyperlink"/>
          </w:rPr>
          <w:t>HJ</w:t>
        </w:r>
      </w:hyperlink>
      <w:r>
        <w:noBreakHyphen/>
      </w:r>
      <w:r w:rsidRPr="005F70F8">
        <w:t>31</w:t>
      </w:r>
    </w:p>
    <w:p w:rsidR="009B2366" w:rsidRDefault="009B2366" w:rsidP="009B2366">
      <w:pPr>
        <w:widowControl w:val="0"/>
        <w:tabs>
          <w:tab w:val="right" w:pos="1008"/>
          <w:tab w:val="left" w:pos="1152"/>
          <w:tab w:val="left" w:pos="1872"/>
          <w:tab w:val="left" w:pos="9187"/>
        </w:tabs>
        <w:ind w:left="2088" w:hanging="2088"/>
        <w:jc w:val="left"/>
      </w:pPr>
      <w:r>
        <w:tab/>
        <w:t>4/1/2009</w:t>
      </w:r>
      <w:r>
        <w:tab/>
        <w:t>Senate</w:t>
      </w:r>
      <w:r>
        <w:tab/>
      </w:r>
      <w:r w:rsidRPr="005F70F8">
        <w:t xml:space="preserve">Introduced and read first time </w:t>
      </w:r>
      <w:hyperlink r:id="rId14" w:history="1">
        <w:r w:rsidRPr="00107595">
          <w:rPr>
            <w:rStyle w:val="Hyperlink"/>
          </w:rPr>
          <w:t>SJ</w:t>
        </w:r>
      </w:hyperlink>
      <w:r>
        <w:noBreakHyphen/>
      </w:r>
      <w:r w:rsidRPr="005F70F8">
        <w:t>12</w:t>
      </w:r>
    </w:p>
    <w:p w:rsidR="009B2366" w:rsidRDefault="009B2366" w:rsidP="009B2366">
      <w:pPr>
        <w:widowControl w:val="0"/>
        <w:tabs>
          <w:tab w:val="right" w:pos="1008"/>
          <w:tab w:val="left" w:pos="1152"/>
          <w:tab w:val="left" w:pos="1872"/>
          <w:tab w:val="left" w:pos="9187"/>
        </w:tabs>
        <w:ind w:left="2088" w:hanging="2088"/>
        <w:jc w:val="left"/>
      </w:pPr>
      <w:r>
        <w:tab/>
        <w:t>4/1/2009</w:t>
      </w:r>
      <w:r>
        <w:tab/>
        <w:t>Senate</w:t>
      </w:r>
      <w:r>
        <w:tab/>
      </w:r>
      <w:r w:rsidRPr="005F70F8">
        <w:t xml:space="preserve">Referred to Committee on </w:t>
      </w:r>
      <w:r w:rsidRPr="005F70F8">
        <w:rPr>
          <w:b/>
        </w:rPr>
        <w:t>Judiciary</w:t>
      </w:r>
      <w:r w:rsidRPr="005F70F8">
        <w:t xml:space="preserve"> </w:t>
      </w:r>
      <w:hyperlink r:id="rId15" w:history="1">
        <w:r w:rsidRPr="00107595">
          <w:rPr>
            <w:rStyle w:val="Hyperlink"/>
          </w:rPr>
          <w:t>SJ</w:t>
        </w:r>
      </w:hyperlink>
      <w:r>
        <w:noBreakHyphen/>
      </w:r>
      <w:r w:rsidRPr="005F70F8">
        <w:t>12</w:t>
      </w:r>
    </w:p>
    <w:p w:rsidR="009B2366" w:rsidRDefault="009B2366" w:rsidP="009B2366">
      <w:pPr>
        <w:widowControl w:val="0"/>
        <w:tabs>
          <w:tab w:val="right" w:pos="1008"/>
          <w:tab w:val="left" w:pos="1152"/>
          <w:tab w:val="left" w:pos="1872"/>
          <w:tab w:val="left" w:pos="9187"/>
        </w:tabs>
        <w:ind w:left="2088" w:hanging="2088"/>
        <w:jc w:val="left"/>
      </w:pPr>
      <w:r>
        <w:tab/>
        <w:t>1/13/2010</w:t>
      </w:r>
      <w:r>
        <w:tab/>
        <w:t>Senate</w:t>
      </w:r>
      <w:r>
        <w:tab/>
      </w:r>
      <w:r w:rsidRPr="005F70F8">
        <w:t>Referred t</w:t>
      </w:r>
      <w:r>
        <w:t xml:space="preserve">o Subcommittee: McConnell (ch), </w:t>
      </w:r>
      <w:r w:rsidRPr="005F70F8">
        <w:t>L.Martin, Hutto, Campbell, Nicholson</w:t>
      </w:r>
    </w:p>
    <w:p w:rsidR="009B2366" w:rsidRDefault="009B2366" w:rsidP="009B2366">
      <w:pPr>
        <w:widowControl w:val="0"/>
        <w:tabs>
          <w:tab w:val="right" w:pos="1008"/>
          <w:tab w:val="left" w:pos="1152"/>
          <w:tab w:val="left" w:pos="1872"/>
          <w:tab w:val="left" w:pos="9187"/>
        </w:tabs>
        <w:ind w:left="2088" w:hanging="2088"/>
        <w:jc w:val="left"/>
      </w:pPr>
    </w:p>
    <w:p w:rsidR="00302397" w:rsidRDefault="00302397">
      <w:pPr>
        <w:widowControl w:val="0"/>
        <w:tabs>
          <w:tab w:val="right" w:pos="1008"/>
          <w:tab w:val="left" w:pos="1152"/>
          <w:tab w:val="left" w:pos="1872"/>
          <w:tab w:val="left" w:pos="9187"/>
        </w:tabs>
        <w:ind w:left="2088" w:hanging="2088"/>
        <w:jc w:val="left"/>
      </w:pPr>
    </w:p>
    <w:p w:rsidR="00302397" w:rsidRDefault="00734828">
      <w:pPr>
        <w:widowControl w:val="0"/>
        <w:jc w:val="left"/>
      </w:pPr>
      <w:r>
        <w:rPr>
          <w:b/>
        </w:rPr>
        <w:t>VERSIONS OF THIS BILL</w:t>
      </w:r>
    </w:p>
    <w:p w:rsidR="00302397" w:rsidRDefault="00302397">
      <w:pPr>
        <w:widowControl w:val="0"/>
        <w:jc w:val="left"/>
      </w:pPr>
    </w:p>
    <w:p w:rsidR="00302397" w:rsidRDefault="00670DA1">
      <w:pPr>
        <w:widowControl w:val="0"/>
        <w:jc w:val="left"/>
      </w:pPr>
      <w:hyperlink r:id="rId16" w:history="1">
        <w:r w:rsidR="00734828">
          <w:rPr>
            <w:rStyle w:val="Hyperlink"/>
          </w:rPr>
          <w:t>12/16/2008</w:t>
        </w:r>
      </w:hyperlink>
    </w:p>
    <w:p w:rsidR="00302397" w:rsidRDefault="00670DA1">
      <w:hyperlink r:id="rId17" w:history="1">
        <w:r w:rsidR="00734828">
          <w:rPr>
            <w:rStyle w:val="Hyperlink"/>
          </w:rPr>
          <w:t>3/25/2009</w:t>
        </w:r>
      </w:hyperlink>
    </w:p>
    <w:p w:rsidR="00302397" w:rsidRDefault="00670DA1">
      <w:hyperlink r:id="rId18" w:history="1">
        <w:r w:rsidR="00734828">
          <w:rPr>
            <w:rStyle w:val="Hyperlink"/>
          </w:rPr>
          <w:t>3/31/2009</w:t>
        </w:r>
      </w:hyperlink>
    </w:p>
    <w:p w:rsidR="00302397" w:rsidRDefault="00302397"/>
    <w:p w:rsidR="00302397" w:rsidRDefault="00302397">
      <w:pPr>
        <w:sectPr w:rsidR="00302397">
          <w:pgSz w:w="12240" w:h="15840" w:code="1"/>
          <w:pgMar w:top="1080" w:right="1440" w:bottom="1080" w:left="1440" w:header="720" w:footer="720" w:gutter="0"/>
          <w:cols w:space="720"/>
          <w:noEndnote/>
          <w:docGrid w:linePitch="360"/>
        </w:sectPr>
      </w:pPr>
    </w:p>
    <w:p w:rsidR="00302397" w:rsidRDefault="00734828">
      <w:pPr>
        <w:pStyle w:val="BillDots"/>
      </w:pPr>
      <w:r>
        <w:rPr>
          <w:strike/>
        </w:rPr>
        <w:lastRenderedPageBreak/>
        <w:t>Indicates Matter Stricken</w:t>
      </w:r>
    </w:p>
    <w:p w:rsidR="00302397" w:rsidRDefault="00734828">
      <w:pPr>
        <w:pStyle w:val="BillDots"/>
      </w:pPr>
      <w:r>
        <w:rPr>
          <w:u w:val="single"/>
        </w:rPr>
        <w:t>Indicates New Matter</w:t>
      </w:r>
    </w:p>
    <w:p w:rsidR="00302397" w:rsidRDefault="00302397">
      <w:pPr>
        <w:pStyle w:val="BillDots"/>
      </w:pPr>
    </w:p>
    <w:p w:rsidR="00302397" w:rsidRDefault="00734828">
      <w:pPr>
        <w:pStyle w:val="BillDots"/>
      </w:pPr>
      <w:r>
        <w:t>AMENDED</w:t>
      </w:r>
    </w:p>
    <w:p w:rsidR="00302397" w:rsidRDefault="00734828">
      <w:pPr>
        <w:pStyle w:val="BillDots"/>
      </w:pPr>
      <w:r>
        <w:t>March 31, 2009</w:t>
      </w:r>
    </w:p>
    <w:p w:rsidR="00302397" w:rsidRDefault="00302397">
      <w:pPr>
        <w:pStyle w:val="BillDots"/>
      </w:pPr>
    </w:p>
    <w:p w:rsidR="00302397" w:rsidRDefault="00734828">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302397" w:rsidRDefault="00302397">
      <w:pPr>
        <w:pStyle w:val="BillDots"/>
      </w:pPr>
    </w:p>
    <w:p w:rsidR="00302397" w:rsidRDefault="00734828">
      <w:pPr>
        <w:pStyle w:val="BillDots"/>
      </w:pPr>
      <w:r>
        <w:t>Introduced by Reps. G.R. Smith, Funderburk, Daning, Allison, G.M. Smith, Harrison, Wylie, Littlejohn, Bingham, Hamilton, Stavrinakis, T.R. Young, E.H. Pitts, McEachern, Ballentine, Gunn, Bedingfield, Millwood and Hutto</w:t>
      </w:r>
    </w:p>
    <w:p w:rsidR="00302397" w:rsidRDefault="00302397">
      <w:pPr>
        <w:pStyle w:val="BillDots"/>
      </w:pPr>
    </w:p>
    <w:p w:rsidR="00302397" w:rsidRDefault="00734828">
      <w:pPr>
        <w:pStyle w:val="BillDots"/>
      </w:pPr>
      <w:r>
        <w:t>S. Printed 3/31/09--H.</w:t>
      </w:r>
    </w:p>
    <w:p w:rsidR="00302397" w:rsidRDefault="00734828">
      <w:pPr>
        <w:pStyle w:val="BillDots"/>
      </w:pPr>
      <w:r>
        <w:t>Read the first time January 13, 2009.</w:t>
      </w:r>
    </w:p>
    <w:p w:rsidR="00302397" w:rsidRDefault="00734828">
      <w:pPr>
        <w:pStyle w:val="BillDots"/>
        <w:jc w:val="center"/>
      </w:pPr>
      <w:r>
        <w:rPr>
          <w:u w:val="single"/>
        </w:rPr>
        <w:t>            </w:t>
      </w:r>
    </w:p>
    <w:p w:rsidR="00302397" w:rsidRDefault="00302397">
      <w:pPr>
        <w:pStyle w:val="BillDots"/>
      </w:pPr>
    </w:p>
    <w:p w:rsidR="00302397" w:rsidRDefault="00302397">
      <w:pPr>
        <w:pStyle w:val="BillDots"/>
        <w:sectPr w:rsidR="0030239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02397" w:rsidRDefault="00302397">
      <w:pPr>
        <w:pStyle w:val="BillDots"/>
      </w:pPr>
    </w:p>
    <w:p w:rsidR="00302397" w:rsidRDefault="00302397">
      <w:pPr>
        <w:pStyle w:val="Numbersforbill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RESTRUCTURING ACT” INCLUDING PROVISIONS TO AMEND SECTION 1</w:t>
      </w:r>
      <w:r>
        <w:noBreakHyphen/>
        <w:t>30</w:t>
      </w:r>
      <w:r>
        <w:noBreakHyphen/>
        <w:t>10, AS AMENDED, CODE OF LAWS OF SOUTH CAROLINA, 1976, RELATING TO THE AGENCIES OF THE EXECUTIVE BRANCH OF STATE GOVERNMENT BY ADDING THE DEPARTMENT OF ADMINISTRATION; BY ADDING SECTION 1</w:t>
      </w:r>
      <w:r>
        <w:noBreakHyphen/>
        <w:t>30</w:t>
      </w:r>
      <w:r>
        <w:noBreakHyphen/>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AS AMENDED, 11</w:t>
      </w:r>
      <w:r>
        <w:noBreakHyphen/>
        <w:t>35</w:t>
      </w:r>
      <w:r>
        <w:noBreakHyphen/>
        <w:t>3820, AS AMENDED, 11</w:t>
      </w:r>
      <w:r>
        <w:noBreakHyphen/>
        <w:t>35</w:t>
      </w:r>
      <w:r>
        <w:noBreakHyphen/>
        <w:t>3830, AS AMENDED, 11</w:t>
      </w:r>
      <w:r>
        <w:noBreakHyphen/>
        <w:t>35</w:t>
      </w:r>
      <w:r>
        <w:noBreakHyphen/>
        <w:t>3840, AS AMENDED, 13</w:t>
      </w:r>
      <w:r>
        <w:noBreakHyphen/>
        <w:t>7</w:t>
      </w:r>
      <w:r>
        <w:noBreakHyphen/>
        <w:t>30, AS AMENDED, 13</w:t>
      </w:r>
      <w:r>
        <w:noBreakHyphen/>
        <w:t>7</w:t>
      </w:r>
      <w:r>
        <w:noBreakHyphen/>
        <w:t>830, 44</w:t>
      </w:r>
      <w:r>
        <w:noBreakHyphen/>
        <w:t>53</w:t>
      </w:r>
      <w:r>
        <w:noBreakHyphen/>
        <w:t>530, AS AMENDED, AND 44</w:t>
      </w:r>
      <w:r>
        <w:noBreakHyphen/>
        <w:t>96</w:t>
      </w:r>
      <w:r>
        <w:noBreakHyphen/>
        <w:t>140; 48</w:t>
      </w:r>
      <w:r>
        <w:noBreakHyphen/>
        <w:t>46</w:t>
      </w:r>
      <w:r>
        <w:noBreakHyphen/>
        <w:t>30, 48</w:t>
      </w:r>
      <w:r>
        <w:noBreakHyphen/>
        <w:t>46</w:t>
      </w:r>
      <w:r>
        <w:noBreakHyphen/>
        <w:t>40, 48</w:t>
      </w:r>
      <w:r>
        <w:noBreakHyphen/>
        <w:t>46</w:t>
      </w:r>
      <w:r>
        <w:noBreakHyphen/>
        <w:t>50, 48</w:t>
      </w:r>
      <w:r>
        <w:noBreakHyphen/>
        <w:t>46</w:t>
      </w:r>
      <w:r>
        <w:noBreakHyphen/>
        <w:t>60, 48</w:t>
      </w:r>
      <w:r>
        <w:noBreakHyphen/>
        <w:t>46</w:t>
      </w:r>
      <w:r>
        <w:noBreakHyphen/>
        <w:t>90, 48</w:t>
      </w:r>
      <w:r>
        <w:noBreakHyphen/>
        <w:t>52</w:t>
      </w:r>
      <w:r>
        <w:noBreakHyphen/>
        <w:t>410, 48</w:t>
      </w:r>
      <w:r>
        <w:noBreakHyphen/>
        <w:t>52</w:t>
      </w:r>
      <w:r>
        <w:noBreakHyphen/>
        <w:t>440, AND 48</w:t>
      </w:r>
      <w:r>
        <w:noBreakHyphen/>
        <w:t>52</w:t>
      </w:r>
      <w:r>
        <w:noBreakHyphen/>
        <w:t>460; BY ADDING SECTION 1</w:t>
      </w:r>
      <w:r>
        <w:noBreakHyphen/>
        <w:t>11</w:t>
      </w:r>
      <w:r>
        <w:noBreakHyphen/>
        <w:t>185 RELATING TO VARIOUS AGENCY OR DEPARTMENT PROVISIONS SO AS TO CONFORM THEM TO THE ABOVE PROVISIONS PERTAINING TO THE NEW DEPARTMENT OF ADMINISTRATION OR TO SUPPLEMENT SUCH PROVISIONS.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Restructuring Act”.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Pr>
          <w:rFonts w:eastAsiaTheme="minorHAnsi"/>
          <w:szCs w:val="22"/>
        </w:rPr>
        <w:noBreakHyphen/>
        <w:t>30</w:t>
      </w:r>
      <w:r>
        <w:rPr>
          <w:rFonts w:eastAsiaTheme="minorHAnsi"/>
          <w:szCs w:val="22"/>
        </w:rPr>
        <w:noBreakHyphen/>
        <w:t>10(A) of the 1976 Code is amended by adding a new item to be appropriately numbered at the end: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30</w:t>
      </w:r>
      <w:r>
        <w:rPr>
          <w:rFonts w:eastAsiaTheme="minorHAnsi"/>
          <w:szCs w:val="22"/>
        </w:rPr>
        <w:noBreakHyphen/>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heme="minorHAnsi"/>
          <w:szCs w:val="22"/>
        </w:rPr>
        <w:noBreakHyphen/>
        <w:t>30</w:t>
      </w:r>
      <w:r>
        <w:rPr>
          <w:rFonts w:eastAsiaTheme="minorHAnsi"/>
          <w:szCs w:val="22"/>
        </w:rPr>
        <w:noBreakHyphen/>
        <w:t>10(B)(1)(i) except that this appointment must be upon the advice and consent of the General Assembly rather than the Senate: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Division of General Services including Facilities Management, Business Services together with Fleet Management, and Property Services;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Office of Human Resources;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Office of Executive Policy and Programs, except for the State Ombudsman and Children’s Services programs which are contained within this office;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Office of Economic Opportunity;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Developmental Disabilities Council;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Continuum of Care as established by Section 20</w:t>
      </w:r>
      <w:r>
        <w:rPr>
          <w:rFonts w:eastAsiaTheme="minorHAnsi"/>
          <w:szCs w:val="22"/>
        </w:rPr>
        <w:noBreakHyphen/>
        <w:t>7</w:t>
      </w:r>
      <w:r>
        <w:rPr>
          <w:rFonts w:eastAsiaTheme="minorHAnsi"/>
          <w:szCs w:val="22"/>
        </w:rPr>
        <w:noBreakHyphen/>
        <w:t>5610;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Children’s Foster Care as established by Section 20</w:t>
      </w:r>
      <w:r>
        <w:rPr>
          <w:rFonts w:eastAsiaTheme="minorHAnsi"/>
          <w:szCs w:val="22"/>
        </w:rPr>
        <w:noBreakHyphen/>
        <w:t>7</w:t>
      </w:r>
      <w:r>
        <w:rPr>
          <w:rFonts w:eastAsiaTheme="minorHAnsi"/>
          <w:szCs w:val="22"/>
        </w:rPr>
        <w:noBreakHyphen/>
        <w:t>2379;</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Veterans Affairs as established by Section 25</w:t>
      </w:r>
      <w:r>
        <w:rPr>
          <w:rFonts w:eastAsiaTheme="minorHAnsi"/>
          <w:szCs w:val="22"/>
        </w:rPr>
        <w:noBreakHyphen/>
        <w:t>11</w:t>
      </w:r>
      <w:r>
        <w:rPr>
          <w:rFonts w:eastAsiaTheme="minorHAnsi"/>
          <w:szCs w:val="22"/>
        </w:rPr>
        <w:noBreakHyphen/>
        <w:t>10;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Commission on Women as established by Section 1</w:t>
      </w:r>
      <w:r>
        <w:rPr>
          <w:rFonts w:eastAsiaTheme="minorHAnsi"/>
          <w:szCs w:val="22"/>
        </w:rPr>
        <w:noBreakHyphen/>
        <w:t>15</w:t>
      </w:r>
      <w:r>
        <w:rPr>
          <w:rFonts w:eastAsiaTheme="minorHAnsi"/>
          <w:szCs w:val="22"/>
        </w:rPr>
        <w:noBreakHyphen/>
        <w:t>10;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Pr>
          <w:rFonts w:eastAsiaTheme="minorHAnsi"/>
          <w:szCs w:val="22"/>
        </w:rPr>
        <w:noBreakHyphen/>
        <w:t>35</w:t>
      </w:r>
      <w:r>
        <w:rPr>
          <w:rFonts w:eastAsiaTheme="minorHAnsi"/>
          <w:szCs w:val="22"/>
        </w:rPr>
        <w:noBreakHyphen/>
        <w:t>5270;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Pr>
          <w:rFonts w:eastAsiaTheme="minorHAnsi"/>
          <w:szCs w:val="22"/>
        </w:rPr>
        <w:noBreakHyphen/>
        <w:t>52</w:t>
      </w:r>
      <w:r>
        <w:rPr>
          <w:rFonts w:eastAsiaTheme="minorHAnsi"/>
          <w:szCs w:val="22"/>
        </w:rPr>
        <w:noBreakHyphen/>
        <w:t>410;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Division of State Chief Information Officer of the State Budget and Control Board.”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Title 2 of the 1976 Code is amended by adding: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Legislative Oversight of Executive Departments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5.</w:t>
      </w:r>
      <w:r>
        <w:tab/>
      </w:r>
      <w:r>
        <w:tab/>
        <w:t>The General Assembly finds and declares the following to be the public policy of the State of South Carolina:</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10.</w:t>
      </w:r>
      <w:r>
        <w:tab/>
        <w:t>As used in this chapter: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‘Agency’ means an authority, board, branch, commission, committee, </w:t>
      </w:r>
      <w:r>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‘Investigating committee’ means any standing committee or subcommittee of a standing committee exercising its authority to conduct an oversight study and investigation of an agency within the standing committee’s subject matter jurisdiction.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‘Standing committee’ means a permanent committee with a regular meeting schedule and designated subject matter jurisdiction that is authorized by the Rules of the Senate or the Rules of the House of Representatives.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tab/>
        <w:t>Section 2</w:t>
      </w:r>
      <w:r>
        <w:noBreakHyphen/>
        <w:t>2</w:t>
      </w:r>
      <w:r>
        <w:noBreakHyphen/>
        <w:t>20.</w:t>
      </w:r>
      <w:r>
        <w:tab/>
        <w:t>(A)</w:t>
      </w:r>
      <w:r>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purpose of these oversight studies and investigations is to determine if agency laws and programs within the subject matter jurisdiction of a standing committee: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are being implemented and carried out in accordance with the intent of the General Assembly;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should be continued, curtailed, or eliminated.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oversight studies and investigations must consider: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application, administration, execution, and effectiveness of laws and programs addressing subjects within the standing committee’s subject matter jurisdiction;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organization and operation of state agencies and entities having responsibilities for the administration and execution of laws and programs addressing subjects within the standing committee’s subject matter jurisdiction;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any conditions or circumstances that may indicate the necessity or desirability of enacting new or additional legislation addressing subjects within the standing committee’s subject matter jurisdiction.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30.</w:t>
      </w:r>
      <w:r>
        <w:tab/>
        <w:t>(A)</w:t>
      </w:r>
      <w:r>
        <w:tab/>
        <w:t>The procedure for conducting the oversight studies and investigations is provided in this 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noBreakHyphen/>
        <w:t>year review schedule must be published in the Senate Journal on the first day of session each year.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noBreakHyphen/>
        <w:t>year review schedule must be published in the House Journal on the first day of session each year.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an investigating committee may vest the standing committee’s full investigative power and authority in a subcommittee.  A subcommittee conducting an oversight study and investigation of an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shall make a full report of its findings and recommendations to the standing committee at the conclusion of its oversight study and investigation,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not consist of fewer than three members.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40.</w:t>
      </w:r>
      <w:r>
        <w:tab/>
        <w:t>(A)</w:t>
      </w:r>
      <w:r>
        <w:tab/>
        <w:t>In addition to the scheduled five</w:t>
      </w:r>
      <w:r>
        <w:noBreakHyphen/>
        <w:t>year oversight studies and investigations, a standing committee of the Senate or the House of Representatives may by one</w:t>
      </w:r>
      <w: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noBreakHyphen/>
        <w:t>2</w:t>
      </w:r>
      <w:r>
        <w:noBreakHyphen/>
        <w:t>50.</w:t>
      </w:r>
      <w:r>
        <w:tab/>
      </w:r>
      <w:r>
        <w:tab/>
      </w:r>
      <w:r>
        <w:rPr>
          <w:szCs w:val="16"/>
        </w:rPr>
        <w:t>When an investigating committee conducts an oversight study and investigation or a legislative investigation is conducted pursuant to Section 2</w:t>
      </w:r>
      <w:r>
        <w:rPr>
          <w:szCs w:val="16"/>
        </w:rPr>
        <w:noBreakHyphen/>
        <w:t>2</w:t>
      </w:r>
      <w:r>
        <w:rPr>
          <w:szCs w:val="16"/>
        </w:rPr>
        <w:noBreakHyphen/>
        <w:t>40(B), evidence or information related to the investigation may be acquired by any lawful means, including, but not limited to:</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serving a request for information on the agency being studied or investigated.  The request for information must be answered separately and fully in writing under oath and returned to the investigating committee within forty</w:t>
      </w:r>
      <w:r>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issuing subpoenas and subpoenas duces tecum pursuant to Chapter 69 of this title;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60.</w:t>
      </w:r>
      <w:r>
        <w:tab/>
        <w:t>(A)</w:t>
      </w:r>
      <w:r>
        <w:tab/>
        <w:t>An investigating committee’s request for a program evaluation report must contain: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agency program or operations that it intends to investigate;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information that must be included in the report;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date that the report must be submitted to the committee.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investigating committee may request that the program evaluation report contain any of the following information: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enabling or authorizing law or other relevant mandate, including any federal mandates;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description of each program administered by the agency identified by the investigating committee in the request for a program evaluation report, including the following information: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established priorities, including goals and objectives in meeting each priority;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performance criteria, timetables, or other benchmarks used by the agency to measure its progress in achieving its goals and objectives;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organizational structure, including a position count, job classification, and organization flow chart indicating lines of responsibility;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financial summary, including sources of funding by program and the amounts allocated or appropriated and expended over the last ten years;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identification of the constituencies served by the agency or program, noting any changes or projected changes in the constituencies;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summary of efforts by the agency or program regarding the use of alternative delivery systems, including privatization, in meeting its goals and objectives;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identification of emerging issues for the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comparison of any related federal laws and regulations to the state laws governing the agency or program and the rules implemented by the agency or program;</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agency policies for collecting, managing, and using personal information over the Internet and nonelectronically, information on the agency’s implementation of information technologies;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list of reports, applications, and other similar paperwork required to be filed with the agency by the public.  The list must include: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statutory authority for each filing requirement;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date each filing requirement was adopted or last amended by the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frequency that filing is required;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number of filings received annually for the last five years and the number of anticipated filings for the next five years;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 description of the actions taken or contemplated by the agency to reduce filing requirements and paperwork duplication;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any other relevant information specifically requested by the investigating committee.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information contained in a program evaluation report must be presented in a concise and complete manner.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state agency that is vested with revenue bonding authority may submit annual reports and annual external audit reports conducted by a third party in lieu of a program evaluation report.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70.</w:t>
      </w:r>
      <w:r>
        <w:tab/>
      </w:r>
      <w:r>
        <w:tab/>
        <w:t>All testimony given to the investigating committee must be under oath.</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80.</w:t>
      </w:r>
      <w:r>
        <w:tab/>
      </w:r>
      <w: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2</w:t>
      </w:r>
      <w:r>
        <w:noBreakHyphen/>
        <w:t>90.</w:t>
      </w:r>
      <w:r>
        <w:tab/>
      </w:r>
      <w:r>
        <w:tab/>
        <w:t>A witness shall be given the benefit of any privilege which he may have claimed in court as a party to a civil action.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2</w:t>
      </w:r>
      <w:r>
        <w:noBreakHyphen/>
        <w:t>100.</w:t>
      </w:r>
      <w:r>
        <w:tab/>
      </w:r>
      <w:r>
        <w:tab/>
      </w:r>
      <w:r>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u w:color="000000" w:themeColor="text1"/>
        </w:rPr>
        <w:tab/>
        <w:t>Section 2</w:t>
      </w:r>
      <w:r>
        <w:rPr>
          <w:u w:color="000000" w:themeColor="text1"/>
        </w:rPr>
        <w:noBreakHyphen/>
        <w:t>2</w:t>
      </w:r>
      <w:r>
        <w:rPr>
          <w:u w:color="000000" w:themeColor="text1"/>
        </w:rPr>
        <w:noBreakHyphen/>
        <w:t>110.</w:t>
      </w:r>
      <w:r>
        <w:rPr>
          <w:u w:color="000000" w:themeColor="text1"/>
        </w:rPr>
        <w:tab/>
      </w:r>
      <w:r>
        <w:rPr>
          <w:u w:color="000000" w:themeColor="text1"/>
        </w:rPr>
        <w:tab/>
        <w:t>Whenever any person violates Section 2</w:t>
      </w:r>
      <w:r>
        <w:rPr>
          <w:u w:color="000000" w:themeColor="text1"/>
        </w:rPr>
        <w:noBreakHyphen/>
        <w:t>2</w:t>
      </w:r>
      <w:r>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20 of the 1976 Code, as last amended by Act 164 of 2005, is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Pr>
          <w:rFonts w:eastAsiaTheme="minorHAnsi"/>
          <w:szCs w:val="22"/>
          <w:u w:val="single"/>
        </w:rPr>
        <w:noBreakHyphen/>
        <w:t>30</w:t>
      </w:r>
      <w:r>
        <w:rPr>
          <w:rFonts w:eastAsiaTheme="minorHAnsi"/>
          <w:szCs w:val="22"/>
          <w:u w:val="single"/>
        </w:rPr>
        <w:noBreakHyphen/>
        <w:t>125 are transferred to, and incorporated into, the South Carolina Department of Administration.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22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Pr>
          <w:rFonts w:eastAsiaTheme="minorHAnsi"/>
          <w:bCs/>
          <w:szCs w:val="22"/>
        </w:rPr>
        <w:noBreakHyphen/>
        <w:t>11</w:t>
      </w:r>
      <w:r>
        <w:rPr>
          <w:rFonts w:eastAsiaTheme="minorHAnsi"/>
          <w:bCs/>
          <w:szCs w:val="22"/>
        </w:rPr>
        <w:noBreakHyphen/>
        <w:t>55, 1</w:t>
      </w:r>
      <w:r>
        <w:rPr>
          <w:rFonts w:eastAsiaTheme="minorHAnsi"/>
          <w:bCs/>
          <w:szCs w:val="22"/>
        </w:rPr>
        <w:noBreakHyphen/>
        <w:t>11</w:t>
      </w:r>
      <w:r>
        <w:rPr>
          <w:rFonts w:eastAsiaTheme="minorHAnsi"/>
          <w:bCs/>
          <w:szCs w:val="22"/>
        </w:rPr>
        <w:noBreakHyphen/>
        <w:t>56, and 1</w:t>
      </w:r>
      <w:r>
        <w:rPr>
          <w:rFonts w:eastAsiaTheme="minorHAnsi"/>
          <w:bCs/>
          <w:szCs w:val="22"/>
        </w:rPr>
        <w:noBreakHyphen/>
        <w:t>11</w:t>
      </w:r>
      <w:r>
        <w:rPr>
          <w:rFonts w:eastAsiaTheme="minorHAnsi"/>
          <w:bCs/>
          <w:szCs w:val="22"/>
        </w:rPr>
        <w:noBreakHyphen/>
        <w:t>58 of the 1976 Code are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55.</w:t>
      </w:r>
      <w:r>
        <w:rPr>
          <w:rFonts w:eastAsiaTheme="minorHAnsi"/>
          <w:bCs/>
          <w:szCs w:val="22"/>
        </w:rPr>
        <w:tab/>
        <w:t>(1)</w:t>
      </w:r>
      <w:r>
        <w:rPr>
          <w:rFonts w:eastAsiaTheme="minorHAnsi"/>
          <w:bCs/>
          <w:szCs w:val="22"/>
        </w:rPr>
        <w:tab/>
        <w:t xml:space="preserve">‘Governmental body’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Pr>
          <w:rFonts w:eastAsiaTheme="minorHAnsi"/>
          <w:bCs/>
          <w:szCs w:val="22"/>
        </w:rPr>
        <w:noBreakHyphen/>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Pr>
          <w:rFonts w:eastAsiaTheme="minorHAnsi"/>
          <w:bCs/>
          <w:szCs w:val="22"/>
        </w:rPr>
        <w:noBreakHyphen/>
        <w:t xml:space="preserve">owned space to nonstate lessees.  </w:t>
      </w:r>
      <w:r>
        <w:rPr>
          <w:rFonts w:eastAsiaTheme="minorHAnsi"/>
          <w:bCs/>
          <w:szCs w:val="22"/>
          <w:u w:val="single"/>
        </w:rPr>
        <w:t>Before implementation, these procedures must be submitted to the Budget and Control Board for approval.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56.</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 Division of General Services</w:t>
      </w:r>
      <w:r>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agencies.  </w:t>
      </w:r>
      <w:r>
        <w:rPr>
          <w:rFonts w:eastAsiaTheme="minorHAnsi"/>
          <w:bCs/>
          <w:szCs w:val="22"/>
          <w:u w:val="single"/>
        </w:rPr>
        <w:t>The department must submit regulations for the implementation of this section to the General Assembly as provided in the Administrative Procedures Act, Chapter 23 of Title 1.</w:t>
      </w:r>
      <w:r>
        <w:rPr>
          <w:rFonts w:eastAsiaTheme="minorHAnsi"/>
          <w:bCs/>
          <w:szCs w:val="22"/>
        </w:rPr>
        <w:t xml:space="preserve">  The </w:t>
      </w:r>
      <w:r>
        <w:rPr>
          <w:rFonts w:eastAsiaTheme="minorHAnsi"/>
          <w:bCs/>
          <w:strike/>
          <w:szCs w:val="22"/>
        </w:rPr>
        <w:t>board’s`</w:t>
      </w:r>
      <w:r>
        <w:rPr>
          <w:rFonts w:eastAsiaTheme="minorHAnsi"/>
          <w:bCs/>
          <w:szCs w:val="22"/>
        </w:rPr>
        <w:t xml:space="preserve"> </w:t>
      </w:r>
      <w:r>
        <w:rPr>
          <w:rFonts w:eastAsiaTheme="minorHAnsi"/>
          <w:bCs/>
          <w:szCs w:val="22"/>
          <w:u w:val="single"/>
        </w:rPr>
        <w:t>department</w:t>
      </w:r>
      <w:r>
        <w:rPr>
          <w:rFonts w:eastAsiaTheme="minorHAnsi"/>
          <w:bCs/>
          <w:szCs w:val="22"/>
        </w:rPr>
        <w:t xml:space="preserve"> regulations, upon General Assembly approval, shall include procedures for: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state’s prerogatives including, but not limited to, a right of cancellation in the event of:</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agency’s request for additional space or space at a specific location, or both;</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Pr>
          <w:rFonts w:eastAsiaTheme="minorHAnsi"/>
          <w:bCs/>
          <w:szCs w:val="22"/>
        </w:rPr>
        <w:noBreakHyphen/>
        <w:t xml:space="preserve">year financial plan for review by the </w:t>
      </w:r>
      <w:r>
        <w:rPr>
          <w:rFonts w:eastAsiaTheme="minorHAnsi"/>
          <w:bCs/>
          <w:strike/>
          <w:szCs w:val="22"/>
        </w:rPr>
        <w:t>board’s budget office</w:t>
      </w:r>
      <w:r>
        <w:rPr>
          <w:rFonts w:eastAsiaTheme="minorHAnsi"/>
          <w:bCs/>
          <w:szCs w:val="22"/>
        </w:rPr>
        <w:t xml:space="preserve"> </w:t>
      </w:r>
      <w:r>
        <w:rPr>
          <w:rFonts w:eastAsiaTheme="minorHAnsi"/>
          <w:bCs/>
          <w:szCs w:val="22"/>
          <w:u w:val="single"/>
        </w:rPr>
        <w:t>Budget and Control Board’s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heme="minorHAnsi"/>
          <w:bCs/>
          <w:szCs w:val="22"/>
        </w:rPr>
        <w:noBreakHyphen/>
        <w:t>year period;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Pr>
          <w:rFonts w:eastAsiaTheme="minorHAnsi"/>
          <w:bCs/>
          <w:szCs w:val="22"/>
        </w:rPr>
        <w:noBreakHyphen/>
        <w:t>year period.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58.</w:t>
      </w:r>
      <w:r>
        <w:rPr>
          <w:rFonts w:eastAsiaTheme="minorHAnsi"/>
          <w:bCs/>
          <w:szCs w:val="22"/>
        </w:rPr>
        <w:tab/>
        <w:t>(1)</w:t>
      </w:r>
      <w:r>
        <w:rPr>
          <w:rFonts w:eastAsiaTheme="minorHAnsi"/>
          <w:bCs/>
          <w:szCs w:val="22"/>
        </w:rPr>
        <w:tab/>
        <w:t>Every state agency, as defined by Section 1</w:t>
      </w:r>
      <w:r>
        <w:rPr>
          <w:rFonts w:eastAsiaTheme="minorHAnsi"/>
          <w:bCs/>
          <w:szCs w:val="22"/>
        </w:rPr>
        <w:noBreakHyphen/>
        <w:t>19</w:t>
      </w:r>
      <w:r>
        <w:rPr>
          <w:rFonts w:eastAsiaTheme="minorHAnsi"/>
          <w:bCs/>
          <w:szCs w:val="22"/>
        </w:rPr>
        <w:noBreakHyphen/>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Pr>
          <w:rFonts w:eastAsiaTheme="minorHAnsi"/>
          <w:bCs/>
          <w:szCs w:val="22"/>
        </w:rPr>
        <w:noBreakHyphen/>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Pr>
          <w:rFonts w:eastAsiaTheme="minorHAnsi"/>
          <w:bCs/>
          <w:szCs w:val="22"/>
        </w:rPr>
        <w:noBreakHyphen/>
        <w:t>11</w:t>
      </w:r>
      <w:r>
        <w:rPr>
          <w:rFonts w:eastAsiaTheme="minorHAnsi"/>
          <w:bCs/>
          <w:szCs w:val="22"/>
        </w:rPr>
        <w:noBreakHyphen/>
        <w:t>65, 1</w:t>
      </w:r>
      <w:r>
        <w:rPr>
          <w:rFonts w:eastAsiaTheme="minorHAnsi"/>
          <w:bCs/>
          <w:szCs w:val="22"/>
        </w:rPr>
        <w:noBreakHyphen/>
        <w:t>11</w:t>
      </w:r>
      <w:r>
        <w:rPr>
          <w:rFonts w:eastAsiaTheme="minorHAnsi"/>
          <w:bCs/>
          <w:szCs w:val="22"/>
        </w:rPr>
        <w:noBreakHyphen/>
        <w:t>67, 1</w:t>
      </w:r>
      <w:r>
        <w:rPr>
          <w:rFonts w:eastAsiaTheme="minorHAnsi"/>
          <w:bCs/>
          <w:szCs w:val="22"/>
        </w:rPr>
        <w:noBreakHyphen/>
        <w:t>11</w:t>
      </w:r>
      <w:r>
        <w:rPr>
          <w:rFonts w:eastAsiaTheme="minorHAnsi"/>
          <w:bCs/>
          <w:szCs w:val="22"/>
        </w:rPr>
        <w:noBreakHyphen/>
        <w:t>70, 1</w:t>
      </w:r>
      <w:r>
        <w:rPr>
          <w:rFonts w:eastAsiaTheme="minorHAnsi"/>
          <w:bCs/>
          <w:szCs w:val="22"/>
        </w:rPr>
        <w:noBreakHyphen/>
        <w:t>11</w:t>
      </w:r>
      <w:r>
        <w:rPr>
          <w:rFonts w:eastAsiaTheme="minorHAnsi"/>
          <w:bCs/>
          <w:szCs w:val="22"/>
        </w:rPr>
        <w:noBreakHyphen/>
        <w:t>80, 1</w:t>
      </w:r>
      <w:r>
        <w:rPr>
          <w:rFonts w:eastAsiaTheme="minorHAnsi"/>
          <w:bCs/>
          <w:szCs w:val="22"/>
        </w:rPr>
        <w:noBreakHyphen/>
        <w:t>11</w:t>
      </w:r>
      <w:r>
        <w:rPr>
          <w:rFonts w:eastAsiaTheme="minorHAnsi"/>
          <w:bCs/>
          <w:szCs w:val="22"/>
        </w:rPr>
        <w:noBreakHyphen/>
        <w:t>90, 1</w:t>
      </w:r>
      <w:r>
        <w:rPr>
          <w:rFonts w:eastAsiaTheme="minorHAnsi"/>
          <w:bCs/>
          <w:szCs w:val="22"/>
        </w:rPr>
        <w:noBreakHyphen/>
        <w:t>11</w:t>
      </w:r>
      <w:r>
        <w:rPr>
          <w:rFonts w:eastAsiaTheme="minorHAnsi"/>
          <w:bCs/>
          <w:szCs w:val="22"/>
        </w:rPr>
        <w:noBreakHyphen/>
        <w:t>100, and 1</w:t>
      </w:r>
      <w:r>
        <w:rPr>
          <w:rFonts w:eastAsiaTheme="minorHAnsi"/>
          <w:bCs/>
          <w:szCs w:val="22"/>
        </w:rPr>
        <w:noBreakHyphen/>
        <w:t>11</w:t>
      </w:r>
      <w:r>
        <w:rPr>
          <w:rFonts w:eastAsiaTheme="minorHAnsi"/>
          <w:bCs/>
          <w:szCs w:val="22"/>
        </w:rPr>
        <w:noBreakHyphen/>
        <w:t>110 of the 1976 Code are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Pr>
          <w:rFonts w:eastAsiaTheme="minorHAnsi"/>
          <w:szCs w:val="22"/>
        </w:rPr>
        <w:noBreakHyphen/>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Pr>
          <w:rFonts w:eastAsiaTheme="minorHAnsi"/>
          <w:szCs w:val="22"/>
        </w:rPr>
        <w:noBreakHyphen/>
        <w:t xml:space="preserve">controlled </w:t>
      </w:r>
      <w:r>
        <w:rPr>
          <w:rFonts w:eastAsiaTheme="minorHAnsi"/>
          <w:szCs w:val="22"/>
          <w:u w:val="single"/>
        </w:rPr>
        <w:t>or department</w:t>
      </w:r>
      <w:r>
        <w:rPr>
          <w:rFonts w:eastAsiaTheme="minorHAnsi"/>
          <w:szCs w:val="22"/>
          <w:u w:val="single"/>
        </w:rPr>
        <w:noBreakHyphen/>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Pr>
          <w:rFonts w:eastAsiaTheme="minorHAnsi"/>
          <w:bCs/>
          <w:szCs w:val="22"/>
        </w:rPr>
        <w:noBreakHyphen/>
        <w:t>11</w:t>
      </w:r>
      <w:r>
        <w:rPr>
          <w:rFonts w:eastAsiaTheme="minorHAnsi"/>
          <w:bCs/>
          <w:szCs w:val="22"/>
        </w:rPr>
        <w:noBreakHyphen/>
        <w:t>180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 of Title 1 of the 1976 Code is amended by adding: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w:t>
      </w:r>
      <w:r>
        <w:rPr>
          <w:rFonts w:eastAsiaTheme="minorHAnsi"/>
          <w:szCs w:val="22"/>
        </w:rPr>
        <w:tab/>
      </w:r>
      <w:r>
        <w:rPr>
          <w:rFonts w:eastAsiaTheme="minorHAnsi"/>
          <w:szCs w:val="22"/>
        </w:rPr>
        <w:tab/>
        <w:t>(1)</w:t>
      </w:r>
      <w:r>
        <w:rPr>
          <w:rFonts w:eastAsiaTheme="minorHAnsi"/>
          <w:szCs w:val="22"/>
        </w:rPr>
        <w:tab/>
        <w:t>Section 1</w:t>
      </w:r>
      <w:r>
        <w:rPr>
          <w:rFonts w:eastAsiaTheme="minorHAnsi"/>
          <w:szCs w:val="22"/>
        </w:rPr>
        <w:noBreakHyphen/>
        <w:t>11</w:t>
      </w:r>
      <w:r>
        <w:rPr>
          <w:rFonts w:eastAsiaTheme="minorHAnsi"/>
          <w:szCs w:val="22"/>
        </w:rPr>
        <w:noBreakHyphen/>
        <w:t>220 of the 1976 Code, as last amended by Act 203 of 2008, is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Pr>
          <w:rFonts w:eastAsiaTheme="minorHAnsi"/>
          <w:szCs w:val="22"/>
          <w:u w:val="single"/>
        </w:rPr>
        <w:t>‘</w:t>
      </w:r>
      <w:r>
        <w:rPr>
          <w:rFonts w:eastAsiaTheme="minorHAnsi"/>
          <w:szCs w:val="22"/>
        </w:rPr>
        <w:t>State Fleet Manager</w:t>
      </w:r>
      <w:r>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Pr>
          <w:rFonts w:eastAsiaTheme="minorHAnsi"/>
          <w:szCs w:val="22"/>
        </w:rPr>
        <w:noBreakHyphen/>
        <w:t>effectiveness management of state</w:t>
      </w:r>
      <w:r>
        <w:rPr>
          <w:rFonts w:eastAsiaTheme="minorHAnsi"/>
          <w:szCs w:val="22"/>
        </w:rPr>
        <w:noBreakHyphen/>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Pr>
          <w:rFonts w:eastAsiaTheme="minorHAnsi"/>
          <w:szCs w:val="22"/>
        </w:rPr>
        <w:noBreakHyphen/>
        <w:t>11</w:t>
      </w:r>
      <w:r>
        <w:rPr>
          <w:rFonts w:eastAsiaTheme="minorHAnsi"/>
          <w:szCs w:val="22"/>
        </w:rPr>
        <w:noBreakHyphen/>
        <w:t>225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Sections 1</w:t>
      </w:r>
      <w:r>
        <w:rPr>
          <w:rFonts w:eastAsiaTheme="minorHAnsi"/>
          <w:szCs w:val="22"/>
        </w:rPr>
        <w:noBreakHyphen/>
        <w:t>11</w:t>
      </w:r>
      <w:r>
        <w:rPr>
          <w:rFonts w:eastAsiaTheme="minorHAnsi"/>
          <w:szCs w:val="22"/>
        </w:rPr>
        <w:noBreakHyphen/>
        <w:t>250, 1</w:t>
      </w:r>
      <w:r>
        <w:rPr>
          <w:rFonts w:eastAsiaTheme="minorHAnsi"/>
          <w:szCs w:val="22"/>
        </w:rPr>
        <w:noBreakHyphen/>
        <w:t>11</w:t>
      </w:r>
      <w:r>
        <w:rPr>
          <w:rFonts w:eastAsiaTheme="minorHAnsi"/>
          <w:szCs w:val="22"/>
        </w:rPr>
        <w:noBreakHyphen/>
        <w:t>260, 1</w:t>
      </w:r>
      <w:r>
        <w:rPr>
          <w:rFonts w:eastAsiaTheme="minorHAnsi"/>
          <w:szCs w:val="22"/>
        </w:rPr>
        <w:noBreakHyphen/>
        <w:t>11</w:t>
      </w:r>
      <w:r>
        <w:rPr>
          <w:rFonts w:eastAsiaTheme="minorHAnsi"/>
          <w:szCs w:val="22"/>
        </w:rPr>
        <w:noBreakHyphen/>
        <w:t>270(A), 1</w:t>
      </w:r>
      <w:r>
        <w:rPr>
          <w:rFonts w:eastAsiaTheme="minorHAnsi"/>
          <w:szCs w:val="22"/>
        </w:rPr>
        <w:noBreakHyphen/>
        <w:t>11</w:t>
      </w:r>
      <w:r>
        <w:rPr>
          <w:rFonts w:eastAsiaTheme="minorHAnsi"/>
          <w:szCs w:val="22"/>
        </w:rPr>
        <w:noBreakHyphen/>
        <w:t>280, 1</w:t>
      </w:r>
      <w:r>
        <w:rPr>
          <w:rFonts w:eastAsiaTheme="minorHAnsi"/>
          <w:szCs w:val="22"/>
        </w:rPr>
        <w:noBreakHyphen/>
        <w:t>11</w:t>
      </w:r>
      <w:r>
        <w:rPr>
          <w:rFonts w:eastAsiaTheme="minorHAnsi"/>
          <w:szCs w:val="22"/>
        </w:rPr>
        <w:noBreakHyphen/>
        <w:t>290; 1</w:t>
      </w:r>
      <w:r>
        <w:rPr>
          <w:rFonts w:eastAsiaTheme="minorHAnsi"/>
          <w:szCs w:val="22"/>
        </w:rPr>
        <w:noBreakHyphen/>
        <w:t>11</w:t>
      </w:r>
      <w:r>
        <w:rPr>
          <w:rFonts w:eastAsiaTheme="minorHAnsi"/>
          <w:szCs w:val="22"/>
        </w:rPr>
        <w:noBreakHyphen/>
        <w:t>300, 1</w:t>
      </w:r>
      <w:r>
        <w:rPr>
          <w:rFonts w:eastAsiaTheme="minorHAnsi"/>
          <w:szCs w:val="22"/>
        </w:rPr>
        <w:noBreakHyphen/>
        <w:t>11</w:t>
      </w:r>
      <w:r>
        <w:rPr>
          <w:rFonts w:eastAsiaTheme="minorHAnsi"/>
          <w:szCs w:val="22"/>
        </w:rPr>
        <w:noBreakHyphen/>
        <w:t>310, as last amended by Act 203 of 2008, 1</w:t>
      </w:r>
      <w:r>
        <w:rPr>
          <w:rFonts w:eastAsiaTheme="minorHAnsi"/>
          <w:szCs w:val="22"/>
        </w:rPr>
        <w:noBreakHyphen/>
        <w:t>11</w:t>
      </w:r>
      <w:r>
        <w:rPr>
          <w:rFonts w:eastAsiaTheme="minorHAnsi"/>
          <w:szCs w:val="22"/>
        </w:rPr>
        <w:noBreakHyphen/>
        <w:t>315, 1</w:t>
      </w:r>
      <w:r>
        <w:rPr>
          <w:rFonts w:eastAsiaTheme="minorHAnsi"/>
          <w:szCs w:val="22"/>
        </w:rPr>
        <w:noBreakHyphen/>
        <w:t>11</w:t>
      </w:r>
      <w:r>
        <w:rPr>
          <w:rFonts w:eastAsiaTheme="minorHAnsi"/>
          <w:szCs w:val="22"/>
        </w:rPr>
        <w:noBreakHyphen/>
        <w:t>320; 1</w:t>
      </w:r>
      <w:r>
        <w:rPr>
          <w:rFonts w:eastAsiaTheme="minorHAnsi"/>
          <w:szCs w:val="22"/>
        </w:rPr>
        <w:noBreakHyphen/>
        <w:t>11</w:t>
      </w:r>
      <w:r>
        <w:rPr>
          <w:rFonts w:eastAsiaTheme="minorHAnsi"/>
          <w:szCs w:val="22"/>
        </w:rPr>
        <w:noBreakHyphen/>
        <w:t>335, and 1</w:t>
      </w:r>
      <w:r>
        <w:rPr>
          <w:rFonts w:eastAsiaTheme="minorHAnsi"/>
          <w:szCs w:val="22"/>
        </w:rPr>
        <w:noBreakHyphen/>
        <w:t>11</w:t>
      </w:r>
      <w:r>
        <w:rPr>
          <w:rFonts w:eastAsiaTheme="minorHAnsi"/>
          <w:szCs w:val="22"/>
        </w:rPr>
        <w:noBreakHyphen/>
        <w:t>340 of the 1976 Code are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250.</w:t>
      </w:r>
      <w:r>
        <w:rPr>
          <w:rFonts w:eastAsiaTheme="minorHAnsi"/>
          <w:bCs/>
          <w:szCs w:val="22"/>
        </w:rPr>
        <w:tab/>
      </w:r>
      <w:r>
        <w:rPr>
          <w:rFonts w:eastAsiaTheme="minorHAnsi"/>
          <w:szCs w:val="22"/>
        </w:rPr>
        <w:t>For purposes of Sections 1</w:t>
      </w:r>
      <w:r>
        <w:rPr>
          <w:rFonts w:eastAsiaTheme="minorHAnsi"/>
          <w:szCs w:val="22"/>
        </w:rPr>
        <w:noBreakHyphen/>
        <w:t>11</w:t>
      </w:r>
      <w:r>
        <w:rPr>
          <w:rFonts w:eastAsiaTheme="minorHAnsi"/>
          <w:szCs w:val="22"/>
        </w:rPr>
        <w:noBreakHyphen/>
        <w:t>220 to 1</w:t>
      </w:r>
      <w:r>
        <w:rPr>
          <w:rFonts w:eastAsiaTheme="minorHAnsi"/>
          <w:szCs w:val="22"/>
        </w:rPr>
        <w:noBreakHyphen/>
        <w:t>11</w:t>
      </w:r>
      <w:r>
        <w:rPr>
          <w:rFonts w:eastAsiaTheme="minorHAnsi"/>
          <w:szCs w:val="22"/>
        </w:rPr>
        <w:noBreakHyphen/>
        <w:t xml:space="preserve">330: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include in the report a summary of the </w:t>
      </w:r>
      <w:r>
        <w:rPr>
          <w:rFonts w:eastAsiaTheme="minorHAnsi"/>
          <w:strike/>
          <w:szCs w:val="22"/>
        </w:rPr>
        <w:t>division’s</w:t>
      </w:r>
      <w:r>
        <w:rPr>
          <w:rFonts w:eastAsiaTheme="minorHAnsi"/>
          <w:szCs w:val="22"/>
        </w:rPr>
        <w:t xml:space="preserve"> </w:t>
      </w:r>
      <w:r>
        <w:rPr>
          <w:rFonts w:eastAsiaTheme="minorHAnsi"/>
          <w:szCs w:val="22"/>
          <w:u w:val="single"/>
        </w:rPr>
        <w:t>program’s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shall recommend administrative penalties to be used by the agencies for violation of prescribed procedures and regulations relating to the Fleet Management Program.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heme="minorHAnsi"/>
          <w:szCs w:val="22"/>
        </w:rPr>
        <w:noBreakHyphen/>
        <w:t xml:space="preserve">owned vehicle based on their position.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Pr>
          <w:rFonts w:eastAsiaTheme="minorHAnsi"/>
          <w:szCs w:val="22"/>
        </w:rPr>
        <w:noBreakHyphen/>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Pr>
          <w:rFonts w:eastAsiaTheme="minorHAnsi"/>
          <w:szCs w:val="22"/>
        </w:rPr>
        <w:noBreakHyphen/>
        <w:t>effectiveness of such facilities versus commercial alternatives and shall develop a plan for maximally cost</w:t>
      </w:r>
      <w:r>
        <w:rPr>
          <w:rFonts w:eastAsiaTheme="minorHAnsi"/>
          <w:szCs w:val="22"/>
        </w:rPr>
        <w:noBreakHyphen/>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Pr>
          <w:rFonts w:eastAsiaTheme="minorHAnsi"/>
          <w:szCs w:val="22"/>
        </w:rPr>
        <w:noBreakHyphen/>
        <w:t xml:space="preserve">keeping system assigning actual maintenance cost to each vehicle;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Pr>
          <w:rFonts w:eastAsiaTheme="minorHAnsi"/>
          <w:szCs w:val="22"/>
        </w:rPr>
        <w:noBreakHyphen/>
        <w:t xml:space="preserve">owned facilities and paid for by the use of Universal State Credit Cards except where agencies purchase these products in bulk;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‘Operating Expenses</w:t>
      </w:r>
      <w:r>
        <w:rPr>
          <w:rFonts w:eastAsiaTheme="minorHAnsi"/>
          <w:szCs w:val="22"/>
        </w:rPr>
        <w:noBreakHyphen/>
      </w:r>
      <w:r>
        <w:rPr>
          <w:rFonts w:eastAsiaTheme="minorHAnsi"/>
          <w:szCs w:val="22"/>
        </w:rPr>
        <w:noBreakHyphen/>
        <w:t xml:space="preserve">Lease Fleet’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Pr>
          <w:rFonts w:eastAsiaTheme="minorHAnsi"/>
          <w:szCs w:val="22"/>
        </w:rPr>
        <w:noBreakHyphen/>
        <w:t xml:space="preserve">effectiveness and lowest anticipated total life cycle costs.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Pr>
          <w:rFonts w:eastAsiaTheme="minorHAnsi"/>
          <w:szCs w:val="22"/>
        </w:rPr>
        <w:noBreakHyphen/>
        <w:t>five percent domestic content as determined by the appropriate federal agency.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noBreakHyphen/>
        <w:t>in hybrid, bio</w:t>
      </w:r>
      <w:r>
        <w:noBreakHyphen/>
        <w:t>diesel, hydrogen, fuel cell, or flex</w:t>
      </w:r>
      <w:r>
        <w:noBreakHyphen/>
        <w:t>fuel vehicles when the performance, quality, and anticipated life cycle costs are comparable to other available motor vehicles.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Pr>
          <w:rFonts w:eastAsiaTheme="minorHAnsi"/>
          <w:szCs w:val="22"/>
        </w:rPr>
        <w:noBreakHyphen/>
        <w:t xml:space="preserve">owned motor vehicles are identified as such through the use of permanent </w:t>
      </w:r>
      <w:r>
        <w:rPr>
          <w:rFonts w:eastAsiaTheme="minorHAnsi"/>
          <w:strike/>
          <w:szCs w:val="22"/>
        </w:rPr>
        <w:t>state</w:t>
      </w:r>
      <w:r>
        <w:rPr>
          <w:rFonts w:eastAsiaTheme="minorHAnsi"/>
          <w:strike/>
          <w:szCs w:val="22"/>
        </w:rPr>
        <w:noBreakHyphen/>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heme="minorHAnsi"/>
          <w:szCs w:val="22"/>
        </w:rPr>
        <w:noBreakHyphen/>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Pr>
          <w:rFonts w:eastAsiaTheme="minorHAnsi"/>
          <w:szCs w:val="22"/>
        </w:rPr>
        <w:noBreakHyphen/>
        <w:t>owned vehicles which shall serve to minimize the amount paid for rising insurance premiums and reduce the number of accidents involving state</w:t>
      </w:r>
      <w:r>
        <w:rPr>
          <w:rFonts w:eastAsiaTheme="minorHAnsi"/>
          <w:szCs w:val="22"/>
        </w:rPr>
        <w:noBreakHyphen/>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435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435.</w:t>
      </w:r>
      <w:r>
        <w:rPr>
          <w:rFonts w:eastAsiaTheme="minorHAnsi"/>
          <w:szCs w:val="22"/>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Pr>
          <w:rFonts w:eastAsiaTheme="minorHAnsi"/>
          <w:szCs w:val="22"/>
          <w:u w:val="single"/>
        </w:rPr>
        <w:t>Office of the</w:t>
      </w:r>
      <w:r>
        <w:rPr>
          <w:rFonts w:eastAsiaTheme="minorHAnsi"/>
          <w:szCs w:val="22"/>
        </w:rPr>
        <w:t xml:space="preserve"> State Chief Information Officer </w:t>
      </w:r>
      <w:r>
        <w:rPr>
          <w:rFonts w:eastAsiaTheme="minorHAnsi"/>
          <w:szCs w:val="22"/>
          <w:u w:val="single"/>
        </w:rPr>
        <w:t>in the Budget and Control Board</w:t>
      </w:r>
      <w:r>
        <w:rPr>
          <w:rFonts w:eastAsiaTheme="minorHAnsi"/>
          <w:szCs w:val="22"/>
        </w:rPr>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heme="minorHAnsi"/>
          <w:szCs w:val="22"/>
        </w:rPr>
        <w:noBreakHyphen/>
        <w:t>related duties. All state agencies and political subdivisions of this State are directed to assist the Office of the State CIO in the collection of data required for this plan.”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Pr>
          <w:rFonts w:eastAsiaTheme="minorHAnsi"/>
          <w:szCs w:val="22"/>
        </w:rPr>
        <w:noBreakHyphen/>
        <w:t>13</w:t>
      </w:r>
      <w:r>
        <w:rPr>
          <w:rFonts w:eastAsiaTheme="minorHAnsi"/>
          <w:szCs w:val="22"/>
        </w:rPr>
        <w:noBreakHyphen/>
        <w:t>240(a) of the 1976 Code is amended by adding at the end: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Pr>
          <w:rFonts w:eastAsiaTheme="minorHAnsi"/>
          <w:szCs w:val="22"/>
        </w:rPr>
        <w:noBreakHyphen/>
        <w:t>13</w:t>
      </w:r>
      <w:r>
        <w:rPr>
          <w:rFonts w:eastAsiaTheme="minorHAnsi"/>
          <w:szCs w:val="22"/>
        </w:rPr>
        <w:noBreakHyphen/>
        <w:t>240(a)(58)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Pr>
          <w:rFonts w:eastAsiaTheme="minorHAnsi"/>
          <w:szCs w:val="22"/>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heme="minorHAnsi"/>
          <w:szCs w:val="22"/>
        </w:rPr>
        <w:noBreakHyphen/>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10, Section 10</w:t>
      </w:r>
      <w:r>
        <w:rPr>
          <w:rFonts w:eastAsiaTheme="minorHAnsi"/>
          <w:szCs w:val="22"/>
        </w:rPr>
        <w:noBreakHyphen/>
        <w:t>1</w:t>
      </w:r>
      <w:r>
        <w:rPr>
          <w:rFonts w:eastAsiaTheme="minorHAnsi"/>
          <w:szCs w:val="22"/>
        </w:rPr>
        <w:noBreakHyphen/>
        <w:t>30, as last amended by Act 628 of 1988, and Section 10</w:t>
      </w:r>
      <w:r>
        <w:rPr>
          <w:rFonts w:eastAsiaTheme="minorHAnsi"/>
          <w:szCs w:val="22"/>
        </w:rPr>
        <w:noBreakHyphen/>
        <w:t>1</w:t>
      </w:r>
      <w:r>
        <w:rPr>
          <w:rFonts w:eastAsiaTheme="minorHAnsi"/>
          <w:szCs w:val="22"/>
        </w:rPr>
        <w:noBreakHyphen/>
        <w:t>40 of the 1976 Code are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Pr>
          <w:rFonts w:eastAsiaTheme="minorHAnsi"/>
          <w:bCs/>
          <w:szCs w:val="22"/>
        </w:rPr>
        <w:noBreakHyphen/>
        <w:t>1</w:t>
      </w:r>
      <w:r>
        <w:rPr>
          <w:rFonts w:eastAsiaTheme="minorHAnsi"/>
          <w:bCs/>
          <w:szCs w:val="22"/>
        </w:rPr>
        <w:noBreakHyphen/>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40.</w:t>
      </w:r>
      <w:r>
        <w:rPr>
          <w:rFonts w:eastAsiaTheme="minorHAnsi"/>
          <w:bCs/>
          <w:szCs w:val="22"/>
        </w:rPr>
        <w:tab/>
      </w:r>
      <w:r>
        <w:rPr>
          <w:rFonts w:eastAsiaTheme="minorHAnsi"/>
          <w:szCs w:val="22"/>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Pr>
          <w:rFonts w:eastAsiaTheme="minorHAnsi"/>
          <w:szCs w:val="22"/>
        </w:rPr>
        <w:noBreakHyphen/>
        <w:t>1</w:t>
      </w:r>
      <w:r>
        <w:rPr>
          <w:rFonts w:eastAsiaTheme="minorHAnsi"/>
          <w:szCs w:val="22"/>
        </w:rPr>
        <w:noBreakHyphen/>
        <w:t>130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190 of the 1976 Code, as added by Act 145 of 1995,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20. </w:t>
      </w:r>
      <w:r>
        <w:rPr>
          <w:rFonts w:eastAsiaTheme="minorHAnsi"/>
          <w:bCs/>
          <w:szCs w:val="22"/>
        </w:rPr>
        <w:tab/>
        <w:t>No such lease shall provide for a royalty of less than twelve and one</w:t>
      </w:r>
      <w:r>
        <w:rPr>
          <w:rFonts w:eastAsiaTheme="minorHAnsi"/>
          <w:bCs/>
          <w:szCs w:val="22"/>
        </w:rPr>
        <w:noBreakHyphen/>
        <w:t>half per cent of production of oil and gas from the lease.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150.</w:t>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thereon 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heme="minorHAnsi"/>
          <w:bCs/>
          <w:szCs w:val="22"/>
        </w:rPr>
        <w:noBreakHyphen/>
        <w:t>9</w:t>
      </w:r>
      <w:r>
        <w:rPr>
          <w:rFonts w:eastAsiaTheme="minorHAnsi"/>
          <w:bCs/>
          <w:szCs w:val="22"/>
        </w:rPr>
        <w:noBreakHyphen/>
        <w:t>130 and 10</w:t>
      </w:r>
      <w:r>
        <w:rPr>
          <w:rFonts w:eastAsiaTheme="minorHAnsi"/>
          <w:bCs/>
          <w:szCs w:val="22"/>
        </w:rPr>
        <w:noBreakHyphen/>
        <w:t>9</w:t>
      </w:r>
      <w:r>
        <w:rPr>
          <w:rFonts w:eastAsiaTheme="minorHAnsi"/>
          <w:bCs/>
          <w:szCs w:val="22"/>
        </w:rPr>
        <w:noBreakHyphen/>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190.</w:t>
      </w:r>
      <w:r>
        <w:rPr>
          <w:rFonts w:eastAsiaTheme="minorHAnsi"/>
          <w:bCs/>
          <w:szCs w:val="22"/>
        </w:rPr>
        <w:tab/>
      </w:r>
      <w:r>
        <w:rPr>
          <w:rFonts w:eastAsiaTheme="minorHAnsi"/>
          <w:bCs/>
          <w:szCs w:val="22"/>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230.</w:t>
      </w:r>
      <w:r>
        <w:rPr>
          <w:rFonts w:eastAsiaTheme="minorHAnsi"/>
          <w:bCs/>
          <w:szCs w:val="22"/>
        </w:rPr>
        <w:tab/>
      </w:r>
      <w:r>
        <w:rPr>
          <w:rFonts w:eastAsiaTheme="minorHAnsi"/>
          <w:bCs/>
          <w:szCs w:val="22"/>
        </w:rPr>
        <w:tab/>
        <w:t>Any person violating Section 10</w:t>
      </w:r>
      <w:r>
        <w:rPr>
          <w:rFonts w:eastAsiaTheme="minorHAnsi"/>
          <w:bCs/>
          <w:szCs w:val="22"/>
        </w:rPr>
        <w:noBreakHyphen/>
        <w:t>9</w:t>
      </w:r>
      <w:r>
        <w:rPr>
          <w:rFonts w:eastAsiaTheme="minorHAnsi"/>
          <w:bCs/>
          <w:szCs w:val="22"/>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310.</w:t>
      </w:r>
      <w:r>
        <w:rPr>
          <w:rFonts w:eastAsiaTheme="minorHAnsi"/>
          <w:bCs/>
          <w:szCs w:val="22"/>
        </w:rPr>
        <w:tab/>
        <w:t>For purposes of this article geothermal resources mean the natural heat of the earth at temperatures greater than forty degrees Celsius and includes: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330.</w:t>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Pr>
          <w:rFonts w:eastAsiaTheme="minorHAnsi"/>
          <w:szCs w:val="22"/>
        </w:rPr>
        <w:tab/>
        <w:t xml:space="preserve"> Section 10</w:t>
      </w:r>
      <w:r>
        <w:rPr>
          <w:rFonts w:eastAsiaTheme="minorHAnsi"/>
          <w:szCs w:val="22"/>
        </w:rPr>
        <w:noBreakHyphen/>
        <w:t>11</w:t>
      </w:r>
      <w:r>
        <w:rPr>
          <w:rFonts w:eastAsiaTheme="minorHAnsi"/>
          <w:szCs w:val="22"/>
        </w:rPr>
        <w:noBreakHyphen/>
        <w:t>50 of the 1976 Code, as last amended by Act 181 of 1993, is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Pr>
          <w:rFonts w:eastAsiaTheme="minorHAnsi"/>
          <w:szCs w:val="22"/>
          <w:u w:val="single"/>
        </w:rPr>
        <w:noBreakHyphen/>
        <w:t>nine for the Judicial Department; and</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Pr>
          <w:rFonts w:eastAsiaTheme="minorHAnsi"/>
          <w:szCs w:val="22"/>
          <w:u w:val="single"/>
        </w:rPr>
        <w:noBreakHyphen/>
        <w:t>seven for the Office of the Governor.</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90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Pr>
          <w:rFonts w:eastAsiaTheme="minorHAnsi"/>
          <w:szCs w:val="22"/>
        </w:rPr>
        <w:noBreakHyphen/>
        <w:t>11</w:t>
      </w:r>
      <w:r>
        <w:rPr>
          <w:rFonts w:eastAsiaTheme="minorHAnsi"/>
          <w:szCs w:val="22"/>
        </w:rPr>
        <w:noBreakHyphen/>
        <w:t>30 and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110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Pr>
          <w:rFonts w:eastAsiaTheme="minorHAnsi"/>
          <w:szCs w:val="22"/>
        </w:rPr>
        <w:noBreakHyphen/>
        <w:t>11</w:t>
      </w:r>
      <w:r>
        <w:rPr>
          <w:rFonts w:eastAsiaTheme="minorHAnsi"/>
          <w:szCs w:val="22"/>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upon the issuance of which the procedures shall be followed as prevail in connection with the use of parking tickets by the City of Columbia.  Nothing herein shall restrict the application and use of regular arrest warrants.”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140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330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Pr>
          <w:rFonts w:eastAsiaTheme="minorHAnsi"/>
          <w:bCs/>
          <w:szCs w:val="22"/>
        </w:rPr>
        <w:noBreakHyphen/>
        <w:t>9</w:t>
      </w:r>
      <w:r>
        <w:rPr>
          <w:rFonts w:eastAsiaTheme="minorHAnsi"/>
          <w:bCs/>
          <w:szCs w:val="22"/>
        </w:rPr>
        <w:noBreakHyphen/>
        <w:t>610, 11</w:t>
      </w:r>
      <w:r>
        <w:rPr>
          <w:rFonts w:eastAsiaTheme="minorHAnsi"/>
          <w:bCs/>
          <w:szCs w:val="22"/>
        </w:rPr>
        <w:noBreakHyphen/>
        <w:t>9</w:t>
      </w:r>
      <w:r>
        <w:rPr>
          <w:rFonts w:eastAsiaTheme="minorHAnsi"/>
          <w:bCs/>
          <w:szCs w:val="22"/>
        </w:rPr>
        <w:noBreakHyphen/>
        <w:t>620, and 11</w:t>
      </w:r>
      <w:r>
        <w:rPr>
          <w:rFonts w:eastAsiaTheme="minorHAnsi"/>
          <w:bCs/>
          <w:szCs w:val="22"/>
        </w:rPr>
        <w:noBreakHyphen/>
        <w:t>9</w:t>
      </w:r>
      <w:r>
        <w:rPr>
          <w:rFonts w:eastAsiaTheme="minorHAnsi"/>
          <w:bCs/>
          <w:szCs w:val="22"/>
        </w:rPr>
        <w:noBreakHyphen/>
        <w:t>630 of the 1976 Code are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Pr>
          <w:rFonts w:eastAsiaTheme="minorHAnsi"/>
          <w:bCs/>
          <w:szCs w:val="22"/>
        </w:rPr>
        <w:noBreakHyphen/>
        <w:t>9</w:t>
      </w:r>
      <w:r>
        <w:rPr>
          <w:rFonts w:eastAsiaTheme="minorHAnsi"/>
          <w:bCs/>
          <w:szCs w:val="22"/>
        </w:rPr>
        <w:noBreakHyphen/>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620.</w:t>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630.</w:t>
      </w:r>
      <w:r>
        <w:rPr>
          <w:rFonts w:eastAsiaTheme="minorHAnsi"/>
          <w:bCs/>
          <w:szCs w:val="22"/>
        </w:rPr>
        <w:tab/>
      </w:r>
      <w:r>
        <w:rPr>
          <w:rFonts w:eastAsiaTheme="minorHAnsi"/>
          <w:strike/>
          <w:szCs w:val="22"/>
        </w:rPr>
        <w:t>The</w:t>
      </w:r>
      <w:r>
        <w:rPr>
          <w:rFonts w:eastAsiaTheme="minorHAnsi"/>
          <w:szCs w:val="22"/>
        </w:rPr>
        <w:t xml:space="preserve"> </w:t>
      </w:r>
      <w:r>
        <w:rPr>
          <w:rFonts w:eastAsiaTheme="minorHAnsi"/>
          <w:szCs w:val="22"/>
          <w:u w:val="single"/>
        </w:rPr>
        <w:t>Subject to the approval of the</w:t>
      </w:r>
      <w:r>
        <w:rPr>
          <w:rFonts w:eastAsiaTheme="minorHAnsi"/>
          <w:szCs w:val="22"/>
        </w:rPr>
        <w:t xml:space="preserve"> State Budget and Control Board</w:t>
      </w:r>
      <w:r>
        <w:rPr>
          <w:rFonts w:eastAsiaTheme="minorHAnsi"/>
          <w:szCs w:val="22"/>
          <w:u w:val="single"/>
        </w:rPr>
        <w:t>, the South Carolina Department of Administration</w:t>
      </w:r>
      <w:r>
        <w:rPr>
          <w:rFonts w:eastAsiaTheme="minorHAnsi"/>
          <w:szCs w:val="22"/>
        </w:rPr>
        <w:t xml:space="preserve"> shall sell and convey, for and on behalf of the State, all such real property, assets</w:t>
      </w:r>
      <w:r>
        <w:rPr>
          <w:rFonts w:eastAsiaTheme="minorHAnsi"/>
          <w:szCs w:val="22"/>
          <w:u w:val="single"/>
        </w:rPr>
        <w:t>,</w:t>
      </w:r>
      <w:r>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Pr>
          <w:rFonts w:eastAsiaTheme="minorHAnsi"/>
          <w:szCs w:val="22"/>
        </w:rPr>
        <w:noBreakHyphen/>
        <w:t>35</w:t>
      </w:r>
      <w:r>
        <w:rPr>
          <w:rFonts w:eastAsiaTheme="minorHAnsi"/>
          <w:szCs w:val="22"/>
        </w:rPr>
        <w:noBreakHyphen/>
        <w:t>3810 and 11</w:t>
      </w:r>
      <w:r>
        <w:rPr>
          <w:rFonts w:eastAsiaTheme="minorHAnsi"/>
          <w:szCs w:val="22"/>
        </w:rPr>
        <w:noBreakHyphen/>
        <w:t>35</w:t>
      </w:r>
      <w:r>
        <w:rPr>
          <w:rFonts w:eastAsiaTheme="minorHAnsi"/>
          <w:szCs w:val="22"/>
        </w:rPr>
        <w:noBreakHyphen/>
        <w:t>3830, as last amended by Act 153 of 1997, and Sections 11</w:t>
      </w:r>
      <w:r>
        <w:rPr>
          <w:rFonts w:eastAsiaTheme="minorHAnsi"/>
          <w:szCs w:val="22"/>
        </w:rPr>
        <w:noBreakHyphen/>
        <w:t>35</w:t>
      </w:r>
      <w:r>
        <w:rPr>
          <w:rFonts w:eastAsiaTheme="minorHAnsi"/>
          <w:szCs w:val="22"/>
        </w:rPr>
        <w:noBreakHyphen/>
        <w:t>3820 and 11</w:t>
      </w:r>
      <w:r>
        <w:rPr>
          <w:rFonts w:eastAsiaTheme="minorHAnsi"/>
          <w:szCs w:val="22"/>
        </w:rPr>
        <w:noBreakHyphen/>
        <w:t>35</w:t>
      </w:r>
      <w:r>
        <w:rPr>
          <w:rFonts w:eastAsiaTheme="minorHAnsi"/>
          <w:szCs w:val="22"/>
        </w:rPr>
        <w:noBreakHyphen/>
        <w:t>3840, as last amended by Act 376 of 2006, of the 1976 Code are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Pr>
          <w:rFonts w:eastAsiaTheme="minorHAnsi"/>
          <w:bCs/>
          <w:szCs w:val="22"/>
        </w:rPr>
        <w:noBreakHyphen/>
        <w:t>35</w:t>
      </w:r>
      <w:r>
        <w:rPr>
          <w:rFonts w:eastAsiaTheme="minorHAnsi"/>
          <w:bCs/>
          <w:szCs w:val="22"/>
        </w:rPr>
        <w:noBreakHyphen/>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3820.</w:t>
      </w:r>
      <w:r>
        <w:rPr>
          <w:rFonts w:eastAsiaTheme="minorHAnsi"/>
          <w:bCs/>
          <w:szCs w:val="22"/>
        </w:rPr>
        <w:tab/>
      </w:r>
      <w:r>
        <w:rPr>
          <w:rFonts w:eastAsiaTheme="minorHAnsi"/>
          <w:szCs w:val="22"/>
        </w:rPr>
        <w:t>Except as provided in Section 11</w:t>
      </w:r>
      <w:r>
        <w:rPr>
          <w:rFonts w:eastAsiaTheme="minorHAnsi"/>
          <w:szCs w:val="22"/>
        </w:rPr>
        <w:noBreakHyphen/>
        <w:t>35</w:t>
      </w:r>
      <w:r>
        <w:rPr>
          <w:rFonts w:eastAsiaTheme="minorHAnsi"/>
          <w:szCs w:val="22"/>
        </w:rPr>
        <w:noBreakHyphen/>
        <w:t>1580 and Section 11</w:t>
      </w:r>
      <w:r>
        <w:rPr>
          <w:rFonts w:eastAsiaTheme="minorHAnsi"/>
          <w:szCs w:val="22"/>
        </w:rPr>
        <w:noBreakHyphen/>
        <w:t>35</w:t>
      </w:r>
      <w:r>
        <w:rPr>
          <w:rFonts w:eastAsiaTheme="minorHAnsi"/>
          <w:szCs w:val="22"/>
        </w:rPr>
        <w:noBreakHyphen/>
        <w:t>3830 and the regulations pursuant to them, the sale of all state</w:t>
      </w:r>
      <w:r>
        <w:rPr>
          <w:rFonts w:eastAsiaTheme="minorHAnsi"/>
          <w:szCs w:val="22"/>
        </w:rPr>
        <w:noBreakHyphen/>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3830</w:t>
      </w:r>
      <w:r>
        <w:rPr>
          <w:rFonts w:eastAsiaTheme="minorHAnsi"/>
          <w:bCs/>
          <w:szCs w:val="22"/>
        </w:rPr>
        <w:tab/>
      </w:r>
      <w:r>
        <w:rPr>
          <w:rFonts w:eastAsiaTheme="minorHAnsi"/>
          <w:szCs w:val="22"/>
        </w:rPr>
        <w:t>(1)</w:t>
      </w:r>
      <w:r>
        <w:rPr>
          <w:rFonts w:eastAsiaTheme="minorHAnsi"/>
          <w:szCs w:val="22"/>
        </w:rPr>
        <w:tab/>
        <w:t>Trade</w:t>
      </w:r>
      <w:r>
        <w:rPr>
          <w:rFonts w:eastAsiaTheme="minorHAnsi"/>
          <w:szCs w:val="22"/>
        </w:rPr>
        <w:noBreakHyphen/>
        <w:t>in Value.  Unless otherwise provided by law, governmental bodies may trade</w:t>
      </w:r>
      <w:r>
        <w:rPr>
          <w:rFonts w:eastAsiaTheme="minorHAnsi"/>
          <w:szCs w:val="22"/>
        </w:rPr>
        <w:noBreakHyphen/>
        <w:t>in personal property, the trade</w:t>
      </w:r>
      <w:r>
        <w:rPr>
          <w:rFonts w:eastAsiaTheme="minorHAnsi"/>
          <w:szCs w:val="22"/>
        </w:rPr>
        <w:noBreakHyphen/>
        <w:t xml:space="preserve">in value of which may be applied to the procurement or lease of like items.  The </w:t>
      </w:r>
      <w:r>
        <w:rPr>
          <w:rFonts w:eastAsiaTheme="minorHAnsi"/>
          <w:strike/>
          <w:szCs w:val="22"/>
        </w:rPr>
        <w:t>trade</w:t>
      </w:r>
      <w:r>
        <w:rPr>
          <w:rFonts w:eastAsiaTheme="minorHAnsi"/>
          <w:strike/>
          <w:szCs w:val="22"/>
        </w:rPr>
        <w:noBreakHyphen/>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Pr>
          <w:rFonts w:eastAsiaTheme="minorHAnsi"/>
          <w:szCs w:val="22"/>
        </w:rPr>
        <w:noBreakHyphen/>
        <w:t>in Sales.  When the trade</w:t>
      </w:r>
      <w:r>
        <w:rPr>
          <w:rFonts w:eastAsiaTheme="minorHAnsi"/>
          <w:szCs w:val="22"/>
        </w:rPr>
        <w:noBreakHyphen/>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Pr>
          <w:rFonts w:eastAsiaTheme="minorHAnsi"/>
          <w:szCs w:val="22"/>
        </w:rPr>
        <w:noBreakHyphen/>
        <w:t>35</w:t>
      </w:r>
      <w:r>
        <w:rPr>
          <w:rFonts w:eastAsiaTheme="minorHAnsi"/>
          <w:szCs w:val="22"/>
        </w:rPr>
        <w:noBreakHyphen/>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Pr>
          <w:rFonts w:eastAsiaTheme="minorHAnsi"/>
          <w:szCs w:val="22"/>
        </w:rPr>
        <w:noBreakHyphen/>
        <w:t>in Sales.  Governmental bodies shall submit quarterly to the materials management officer a record listing all trade</w:t>
      </w:r>
      <w:r>
        <w:rPr>
          <w:rFonts w:eastAsiaTheme="minorHAnsi"/>
          <w:szCs w:val="22"/>
        </w:rPr>
        <w:noBreakHyphen/>
        <w:t xml:space="preserve">in sales made under subsections (1) and (2) of this section.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Pr>
          <w:rFonts w:eastAsiaTheme="minorHAnsi"/>
          <w:szCs w:val="22"/>
        </w:rPr>
        <w:noBreakHyphen/>
        <w:t>7</w:t>
      </w:r>
      <w:r>
        <w:rPr>
          <w:rFonts w:eastAsiaTheme="minorHAnsi"/>
          <w:szCs w:val="22"/>
        </w:rPr>
        <w:noBreakHyphen/>
        <w:t>30 of the 1976 Code, as last amended by Act 357 of 2000, is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30.</w:t>
      </w:r>
      <w:r>
        <w:rPr>
          <w:rFonts w:eastAsiaTheme="minorHAnsi"/>
          <w:szCs w:val="22"/>
        </w:rPr>
        <w:tab/>
        <w:t>For purposes of this article, the State Budget and Control Board</w:t>
      </w:r>
      <w:r>
        <w:rPr>
          <w:rFonts w:eastAsiaTheme="minorHAnsi"/>
          <w:szCs w:val="22"/>
          <w:u w:val="single"/>
        </w:rPr>
        <w:t>, upon consultation with the South Carolina Department of Administration</w:t>
      </w:r>
      <w:r>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Pr>
          <w:rFonts w:eastAsiaTheme="minorHAnsi"/>
          <w:szCs w:val="22"/>
        </w:rPr>
        <w:noBreakHyphen/>
        <w:t>controlled atomic energy facilities;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heme="minorHAnsi"/>
          <w:szCs w:val="22"/>
        </w:rPr>
        <w:noBreakHyphen/>
        <w:t>46</w:t>
      </w:r>
      <w:r>
        <w:rPr>
          <w:rFonts w:eastAsiaTheme="minorHAnsi"/>
          <w:szCs w:val="22"/>
        </w:rPr>
        <w:noBreakHyphen/>
        <w:t>40(B)(7)(b) and (D)(2), the extended care maintenance fund must be used exclusively for custodial, surveillance, and maintenance costs during the period of institutional control and during any post</w:t>
      </w:r>
      <w:r>
        <w:rPr>
          <w:rFonts w:eastAsiaTheme="minorHAnsi"/>
          <w:szCs w:val="22"/>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heme="minorHAnsi"/>
          <w:szCs w:val="22"/>
        </w:rPr>
        <w:noBreakHyphen/>
        <w:t>closure observation period until all funds in the decommissioning trust account are exhausted.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Pr>
          <w:rFonts w:eastAsiaTheme="minorHAnsi"/>
          <w:szCs w:val="22"/>
        </w:rPr>
        <w:noBreakHyphen/>
        <w:t>7</w:t>
      </w:r>
      <w:r>
        <w:rPr>
          <w:rFonts w:eastAsiaTheme="minorHAnsi"/>
          <w:szCs w:val="22"/>
        </w:rPr>
        <w:noBreakHyphen/>
        <w:t>830 of the 1976 Code, as last amended by Act 357 of 2000, is further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830.</w:t>
      </w:r>
      <w:r>
        <w:rPr>
          <w:rFonts w:eastAsiaTheme="minorHAnsi"/>
          <w:szCs w:val="22"/>
        </w:rPr>
        <w:tab/>
        <w:t>The recommendations described in Section 13</w:t>
      </w:r>
      <w:r>
        <w:rPr>
          <w:rFonts w:eastAsiaTheme="minorHAnsi"/>
          <w:szCs w:val="22"/>
        </w:rPr>
        <w:noBreakHyphen/>
        <w:t>7</w:t>
      </w:r>
      <w:r>
        <w:rPr>
          <w:rFonts w:eastAsiaTheme="minorHAnsi"/>
          <w:szCs w:val="22"/>
        </w:rPr>
        <w:noBreakHyphen/>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Pr>
          <w:rFonts w:eastAsiaTheme="minorHAnsi"/>
          <w:szCs w:val="22"/>
        </w:rPr>
        <w:noBreakHyphen/>
        <w:t>53</w:t>
      </w:r>
      <w:r>
        <w:rPr>
          <w:rFonts w:eastAsiaTheme="minorHAnsi"/>
          <w:szCs w:val="22"/>
        </w:rPr>
        <w:noBreakHyphen/>
        <w:t>530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44</w:t>
      </w:r>
      <w:r>
        <w:rPr>
          <w:rFonts w:eastAsiaTheme="minorHAnsi"/>
          <w:bCs/>
          <w:szCs w:val="22"/>
        </w:rPr>
        <w:noBreakHyphen/>
        <w:t>53</w:t>
      </w:r>
      <w:r>
        <w:rPr>
          <w:rFonts w:eastAsiaTheme="minorHAnsi"/>
          <w:bCs/>
          <w:szCs w:val="22"/>
        </w:rPr>
        <w:noBreakHyphen/>
        <w:t>530.</w:t>
      </w:r>
      <w:r>
        <w:rPr>
          <w:rFonts w:eastAsiaTheme="minorHAnsi"/>
          <w:bCs/>
          <w:szCs w:val="22"/>
        </w:rPr>
        <w:tab/>
      </w:r>
      <w:r>
        <w:rPr>
          <w:rFonts w:eastAsiaTheme="minorHAnsi"/>
          <w:szCs w:val="22"/>
        </w:rPr>
        <w:t>(a)</w:t>
      </w:r>
      <w:r>
        <w:rPr>
          <w:rFonts w:eastAsiaTheme="minorHAnsi"/>
          <w:szCs w:val="22"/>
        </w:rPr>
        <w:tab/>
        <w:t>Forfeiture of property defined in Section 44</w:t>
      </w:r>
      <w:r>
        <w:rPr>
          <w:rFonts w:eastAsiaTheme="minorHAnsi"/>
          <w:szCs w:val="22"/>
        </w:rPr>
        <w:noBreakHyphen/>
        <w:t>53</w:t>
      </w:r>
      <w:r>
        <w:rPr>
          <w:rFonts w:eastAsiaTheme="minorHAnsi"/>
          <w:szCs w:val="22"/>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heme="minorHAnsi"/>
          <w:szCs w:val="22"/>
        </w:rPr>
        <w:noBreakHyphen/>
        <w:t>53</w:t>
      </w:r>
      <w:r>
        <w:rPr>
          <w:rFonts w:eastAsiaTheme="minorHAnsi"/>
          <w:szCs w:val="22"/>
        </w:rPr>
        <w:noBreakHyphen/>
        <w:t xml:space="preserve">582.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Pr>
          <w:rFonts w:eastAsiaTheme="minorHAnsi"/>
          <w:szCs w:val="22"/>
        </w:rPr>
        <w:noBreakHyphen/>
        <w:t>96</w:t>
      </w:r>
      <w:r>
        <w:rPr>
          <w:rFonts w:eastAsiaTheme="minorHAnsi"/>
          <w:szCs w:val="22"/>
        </w:rPr>
        <w:noBreakHyphen/>
        <w:t>140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96</w:t>
      </w:r>
      <w:r>
        <w:rPr>
          <w:rFonts w:eastAsiaTheme="minorHAnsi"/>
          <w:szCs w:val="22"/>
        </w:rPr>
        <w:noBreakHyphen/>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Pr>
          <w:rFonts w:eastAsiaTheme="minorHAnsi"/>
          <w:szCs w:val="22"/>
        </w:rPr>
        <w:noBreakHyphen/>
        <w:t xml:space="preserve">supported institution of higher education shall: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Pr>
          <w:rFonts w:eastAsiaTheme="minorHAnsi"/>
          <w:szCs w:val="22"/>
        </w:rPr>
        <w:noBreakHyphen/>
        <w:t xml:space="preserve">grade office paper, corrugated paper, aluminum, glass, tires, composting materials, plastics, batteries, and used oil;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Pr>
          <w:rFonts w:eastAsiaTheme="minorHAnsi"/>
          <w:szCs w:val="22"/>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Pr>
          <w:rFonts w:eastAsiaTheme="minorHAnsi"/>
          <w:szCs w:val="22"/>
        </w:rPr>
        <w:noBreakHyphen/>
        <w:t xml:space="preserve">five percent goal in their procurement policies. The decision not to procure such items shall be based on a determination that such procurement items: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Pr>
          <w:rFonts w:eastAsiaTheme="minorHAnsi"/>
          <w:szCs w:val="22"/>
        </w:rPr>
        <w:noBreakHyphen/>
        <w:t xml:space="preserve"> half percent the price of alternative items.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Pr>
          <w:rFonts w:eastAsiaTheme="minorHAnsi"/>
          <w:szCs w:val="22"/>
        </w:rPr>
        <w:noBreakHyphen/>
        <w:t xml:space="preserve">fired electrical facilities in road surfacing of subbase materials;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Pr>
          <w:rFonts w:eastAsiaTheme="minorHAnsi"/>
          <w:szCs w:val="22"/>
        </w:rPr>
        <w:noBreakHyphen/>
        <w:t>plastic materials for guardrail posts, right</w:t>
      </w:r>
      <w:r>
        <w:rPr>
          <w:rFonts w:eastAsiaTheme="minorHAnsi"/>
          <w:szCs w:val="22"/>
        </w:rPr>
        <w:noBreakHyphen/>
        <w:t>of</w:t>
      </w:r>
      <w:r>
        <w:rPr>
          <w:rFonts w:eastAsiaTheme="minorHAnsi"/>
          <w:szCs w:val="22"/>
        </w:rPr>
        <w:noBreakHyphen/>
        <w:t xml:space="preserve">way fence posts, and sign supports.”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Pr>
          <w:rFonts w:eastAsiaTheme="minorHAnsi"/>
          <w:szCs w:val="22"/>
        </w:rPr>
        <w:noBreakHyphen/>
        <w:t>46</w:t>
      </w:r>
      <w:r>
        <w:rPr>
          <w:rFonts w:eastAsiaTheme="minorHAnsi"/>
          <w:szCs w:val="22"/>
        </w:rPr>
        <w:noBreakHyphen/>
        <w:t>30(4)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‘Board’ means the South Carolina Budget and Control Board or its designated official, </w:t>
      </w:r>
      <w:r>
        <w:rPr>
          <w:rFonts w:eastAsiaTheme="minorHAnsi"/>
          <w:szCs w:val="22"/>
          <w:u w:val="single"/>
        </w:rPr>
        <w:t>and ‘Department’ means the South Carolina Department of Administration or its designee</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Pr>
          <w:rFonts w:eastAsiaTheme="minorHAnsi"/>
          <w:szCs w:val="22"/>
        </w:rPr>
        <w:noBreakHyphen/>
        <w:t>46</w:t>
      </w:r>
      <w:r>
        <w:rPr>
          <w:rFonts w:eastAsiaTheme="minorHAnsi"/>
          <w:szCs w:val="22"/>
        </w:rPr>
        <w:noBreakHyphen/>
        <w:t>40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Pr>
          <w:rFonts w:eastAsiaTheme="minorHAnsi"/>
          <w:szCs w:val="22"/>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160,000 cubic feet in fiscal year 2001;</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w:t>
      </w:r>
      <w:r>
        <w:rPr>
          <w:rFonts w:eastAsiaTheme="minorHAnsi"/>
          <w:szCs w:val="22"/>
        </w:rPr>
        <w:tab/>
      </w:r>
      <w:r>
        <w:rPr>
          <w:rFonts w:eastAsiaTheme="minorHAnsi"/>
          <w:szCs w:val="22"/>
        </w:rPr>
        <w:tab/>
        <w:t>80,000 cubic feet in fiscal year 2002;</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70,000 cubic feet in fiscal year 2003;</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(iv)</w:t>
      </w:r>
      <w:r>
        <w:rPr>
          <w:rFonts w:eastAsiaTheme="minorHAnsi"/>
          <w:szCs w:val="22"/>
        </w:rPr>
        <w:tab/>
      </w:r>
      <w:r>
        <w:rPr>
          <w:rFonts w:eastAsiaTheme="minorHAnsi"/>
          <w:szCs w:val="22"/>
        </w:rPr>
        <w:tab/>
        <w:t>60,000 cubic feet in fiscal year 2004;</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w:t>
      </w:r>
      <w:r>
        <w:rPr>
          <w:rFonts w:eastAsiaTheme="minorHAnsi"/>
          <w:szCs w:val="22"/>
        </w:rPr>
        <w:tab/>
      </w:r>
      <w:r>
        <w:rPr>
          <w:rFonts w:eastAsiaTheme="minorHAnsi"/>
          <w:szCs w:val="22"/>
        </w:rPr>
        <w:tab/>
        <w:t>50,000 cubic feet in fiscal year 2005;</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w:t>
      </w:r>
      <w:r>
        <w:rPr>
          <w:rFonts w:eastAsiaTheme="minorHAnsi"/>
          <w:szCs w:val="22"/>
        </w:rPr>
        <w:tab/>
      </w:r>
      <w:r>
        <w:rPr>
          <w:rFonts w:eastAsiaTheme="minorHAnsi"/>
          <w:szCs w:val="22"/>
        </w:rPr>
        <w:tab/>
        <w:t>45,000 cubic feet in fiscal year 2006;</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40,000 cubic feet in fiscal year 2007;</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35,000 cubic feet in fiscal year 2008.</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Pr>
          <w:rFonts w:eastAsiaTheme="minorHAnsi"/>
          <w:szCs w:val="22"/>
        </w:rPr>
        <w:noBreakHyphen/>
        <w:t>46</w:t>
      </w:r>
      <w:r>
        <w:rPr>
          <w:rFonts w:eastAsiaTheme="minorHAnsi"/>
          <w:szCs w:val="22"/>
        </w:rPr>
        <w:noBreakHyphen/>
        <w:t>40(A), the PSC is authorized and directed to identify allowable costs for operating a regional low</w:t>
      </w:r>
      <w:r>
        <w:rPr>
          <w:rFonts w:eastAsiaTheme="minorHAnsi"/>
          <w:szCs w:val="22"/>
        </w:rPr>
        <w:noBreakHyphen/>
        <w:t>level radioactive waste disposal facility in South Carolina.</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Pr>
          <w:rFonts w:eastAsiaTheme="minorHAnsi"/>
          <w:szCs w:val="22"/>
        </w:rPr>
        <w:noBreakHyphen/>
        <w:t>46</w:t>
      </w:r>
      <w:r>
        <w:rPr>
          <w:rFonts w:eastAsiaTheme="minorHAnsi"/>
          <w:szCs w:val="22"/>
        </w:rPr>
        <w:noBreakHyphen/>
        <w:t>60;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Pr>
          <w:rFonts w:eastAsiaTheme="minorHAnsi"/>
          <w:szCs w:val="22"/>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Pr>
          <w:rFonts w:eastAsiaTheme="minorHAnsi"/>
          <w:szCs w:val="22"/>
        </w:rPr>
        <w:noBreakHyphen/>
        <w:t>nine percent.  The operating margin for a given period must be determined by multiplying twenty</w:t>
      </w:r>
      <w:r>
        <w:rPr>
          <w:rFonts w:eastAsiaTheme="minorHAnsi"/>
          <w:szCs w:val="22"/>
        </w:rPr>
        <w:noBreakHyphen/>
        <w:t>nine percent by the total amount of allowable costs as determined in this subsection, excluding allowable costs for taxes and licensing and permitting fees paid to governmental entities.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Pr>
          <w:rFonts w:eastAsiaTheme="minorHAnsi"/>
          <w:szCs w:val="22"/>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Pr>
          <w:rFonts w:eastAsiaTheme="minorHAnsi"/>
          <w:szCs w:val="22"/>
        </w:rPr>
        <w:noBreakHyphen/>
        <w:t>46</w:t>
      </w:r>
      <w:r>
        <w:rPr>
          <w:rFonts w:eastAsiaTheme="minorHAnsi"/>
          <w:szCs w:val="22"/>
        </w:rPr>
        <w:noBreakHyphen/>
        <w:t>60(B) and funding of the compact commission under Section 48</w:t>
      </w:r>
      <w:r>
        <w:rPr>
          <w:rFonts w:eastAsiaTheme="minorHAnsi"/>
          <w:szCs w:val="22"/>
        </w:rPr>
        <w:noBreakHyphen/>
        <w:t>46</w:t>
      </w:r>
      <w:r>
        <w:rPr>
          <w:rFonts w:eastAsiaTheme="minorHAnsi"/>
          <w:szCs w:val="22"/>
        </w:rPr>
        <w:noBreakHyphen/>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Pr>
          <w:rFonts w:eastAsiaTheme="minorHAnsi"/>
          <w:szCs w:val="22"/>
        </w:rPr>
        <w:noBreakHyphen/>
        <w:t>7</w:t>
      </w:r>
      <w:r>
        <w:rPr>
          <w:rFonts w:eastAsiaTheme="minorHAnsi"/>
          <w:szCs w:val="22"/>
        </w:rPr>
        <w:noBreakHyphen/>
        <w:t>30, that the fund remains adequate to defray the costs for future maintenance costs or custodial and maintenance obligations of the site and other obligations imposed on the fund by this chapter.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heme="minorHAnsi"/>
          <w:szCs w:val="22"/>
        </w:rPr>
        <w:noBreakHyphen/>
        <w:t>46</w:t>
      </w:r>
      <w:r>
        <w:rPr>
          <w:rFonts w:eastAsiaTheme="minorHAnsi"/>
          <w:szCs w:val="22"/>
        </w:rPr>
        <w:noBreakHyphen/>
        <w:t>60(B) and (C) for reimbursement of administrative costs to state agencies and the compact commission.  The Department of Revenue shall deposit the payment with the State Treasurer.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Pr>
          <w:rFonts w:eastAsiaTheme="minorHAnsi"/>
          <w:szCs w:val="22"/>
        </w:rPr>
        <w:noBreakHyphen/>
        <w:t>46</w:t>
      </w:r>
      <w:r>
        <w:rPr>
          <w:rFonts w:eastAsiaTheme="minorHAnsi"/>
          <w:szCs w:val="22"/>
        </w:rPr>
        <w:noBreakHyphen/>
        <w:t>40(B)(7) pertaining to suspension of operations during periods of insufficient revenues should be invoked.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heme="minorHAnsi"/>
          <w:szCs w:val="22"/>
        </w:rPr>
        <w:noBreakHyphen/>
        <w:t>2912</w:t>
      </w:r>
      <w:r>
        <w:rPr>
          <w:rFonts w:eastAsiaTheme="minorHAnsi"/>
          <w:szCs w:val="22"/>
        </w:rPr>
        <w:noBreakHyphen/>
        <w:t>6 on the same schedule of allocation as is established within that order for the distribution of ‘payments in lieu of taxes’ paid by the United States Department of Energy.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heme="minorHAnsi"/>
          <w:szCs w:val="22"/>
        </w:rPr>
        <w:noBreakHyphen/>
        <w:t>46</w:t>
      </w:r>
      <w:r>
        <w:rPr>
          <w:rFonts w:eastAsiaTheme="minorHAnsi"/>
          <w:szCs w:val="22"/>
        </w:rPr>
        <w:noBreakHyphen/>
        <w:t>60(C) for compact administration and fees paid pursuant to Section 48</w:t>
      </w:r>
      <w:r>
        <w:rPr>
          <w:rFonts w:eastAsiaTheme="minorHAnsi"/>
          <w:szCs w:val="22"/>
        </w:rPr>
        <w:noBreakHyphen/>
        <w:t>46</w:t>
      </w:r>
      <w:r>
        <w:rPr>
          <w:rFonts w:eastAsiaTheme="minorHAnsi"/>
          <w:szCs w:val="22"/>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heme="minorHAnsi"/>
          <w:szCs w:val="22"/>
        </w:rPr>
        <w:noBreakHyphen/>
        <w:t>143</w:t>
      </w:r>
      <w:r>
        <w:rPr>
          <w:rFonts w:eastAsiaTheme="minorHAnsi"/>
          <w:szCs w:val="22"/>
        </w:rPr>
        <w:noBreakHyphen/>
        <w:t>30, and seventy percent of these monies must be allocated to Public School Facility Assistance and used as provided in Chapter 144 of Title 59.</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Pr>
          <w:rFonts w:eastAsiaTheme="minorHAnsi"/>
          <w:szCs w:val="22"/>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heme="minorHAnsi"/>
          <w:szCs w:val="22"/>
        </w:rPr>
        <w:noBreakHyphen/>
        <w:t>2000.  Revenues credited to the endowment pursuant to this subsection, for purposes of Section 59</w:t>
      </w:r>
      <w:r>
        <w:rPr>
          <w:rFonts w:eastAsiaTheme="minorHAnsi"/>
          <w:szCs w:val="22"/>
        </w:rPr>
        <w:noBreakHyphen/>
        <w:t>143</w:t>
      </w:r>
      <w:r>
        <w:rPr>
          <w:rFonts w:eastAsiaTheme="minorHAnsi"/>
          <w:szCs w:val="22"/>
        </w:rPr>
        <w:noBreakHyphen/>
        <w:t>10, are deemed to be received by the endowment pursuant to the former provisions of Section 48</w:t>
      </w:r>
      <w:r>
        <w:rPr>
          <w:rFonts w:eastAsiaTheme="minorHAnsi"/>
          <w:szCs w:val="22"/>
        </w:rPr>
        <w:noBreakHyphen/>
        <w:t>48</w:t>
      </w:r>
      <w:r>
        <w:rPr>
          <w:rFonts w:eastAsiaTheme="minorHAnsi"/>
          <w:szCs w:val="22"/>
        </w:rPr>
        <w:noBreakHyphen/>
        <w:t>140(C).”</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Pr>
          <w:rFonts w:eastAsiaTheme="minorHAnsi"/>
          <w:szCs w:val="22"/>
        </w:rPr>
        <w:noBreakHyphen/>
        <w:t>46</w:t>
      </w:r>
      <w:r>
        <w:rPr>
          <w:rFonts w:eastAsiaTheme="minorHAnsi"/>
          <w:szCs w:val="22"/>
        </w:rPr>
        <w:noBreakHyphen/>
        <w:t>50(A)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Pr>
          <w:rFonts w:eastAsiaTheme="minorHAnsi"/>
          <w:szCs w:val="22"/>
        </w:rPr>
        <w:noBreakHyphen/>
        <w:t>46</w:t>
      </w:r>
      <w:r>
        <w:rPr>
          <w:rFonts w:eastAsiaTheme="minorHAnsi"/>
          <w:szCs w:val="22"/>
        </w:rPr>
        <w:noBreakHyphen/>
        <w:t>60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heme="minorHAnsi"/>
          <w:szCs w:val="22"/>
        </w:rPr>
        <w:noBreakHyphen/>
        <w:t>46</w:t>
      </w:r>
      <w:r>
        <w:rPr>
          <w:rFonts w:eastAsiaTheme="minorHAnsi"/>
          <w:szCs w:val="22"/>
        </w:rPr>
        <w:noBreakHyphen/>
        <w:t>40(A)(6)(a) and Section 48</w:t>
      </w:r>
      <w:r>
        <w:rPr>
          <w:rFonts w:eastAsiaTheme="minorHAnsi"/>
          <w:szCs w:val="22"/>
        </w:rPr>
        <w:noBreakHyphen/>
        <w:t>46</w:t>
      </w:r>
      <w:r>
        <w:rPr>
          <w:rFonts w:eastAsiaTheme="minorHAnsi"/>
          <w:szCs w:val="22"/>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Pr>
          <w:rFonts w:eastAsiaTheme="minorHAnsi"/>
          <w:szCs w:val="22"/>
        </w:rPr>
        <w:noBreakHyphen/>
        <w:t>level radioactive waste disposal in a manner consistent with the procedures described in this chapter;</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Pr>
          <w:rFonts w:eastAsiaTheme="minorHAnsi"/>
          <w:szCs w:val="22"/>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heme="minorHAnsi"/>
          <w:szCs w:val="22"/>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heme="minorHAnsi"/>
          <w:szCs w:val="22"/>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Carolina’s membership; and</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heme="minorHAnsi"/>
          <w:szCs w:val="22"/>
        </w:rPr>
        <w:noBreakHyphen/>
        <w:t>46</w:t>
      </w:r>
      <w:r>
        <w:rPr>
          <w:rFonts w:eastAsiaTheme="minorHAnsi"/>
          <w:szCs w:val="22"/>
        </w:rPr>
        <w:noBreakHyphen/>
        <w:t>40.</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Pr>
          <w:rFonts w:eastAsiaTheme="minorHAnsi"/>
          <w:szCs w:val="22"/>
        </w:rPr>
        <w:noBreakHyphen/>
        <w:t>46</w:t>
      </w:r>
      <w:r>
        <w:rPr>
          <w:rFonts w:eastAsiaTheme="minorHAnsi"/>
          <w:szCs w:val="22"/>
        </w:rPr>
        <w:noBreakHyphen/>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Pr>
          <w:rFonts w:eastAsiaTheme="minorHAnsi"/>
          <w:szCs w:val="22"/>
        </w:rPr>
        <w:noBreakHyphen/>
        <w:t>46</w:t>
      </w:r>
      <w:r>
        <w:rPr>
          <w:rFonts w:eastAsiaTheme="minorHAnsi"/>
          <w:szCs w:val="22"/>
        </w:rPr>
        <w:noBreakHyphen/>
        <w:t>90(A)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Pr>
          <w:rFonts w:eastAsiaTheme="minorHAnsi"/>
          <w:szCs w:val="22"/>
        </w:rPr>
        <w:noBreakHyphen/>
        <w:t>7</w:t>
      </w:r>
      <w:r>
        <w:rPr>
          <w:rFonts w:eastAsiaTheme="minorHAnsi"/>
          <w:szCs w:val="22"/>
        </w:rPr>
        <w:noBreakHyphen/>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Pr>
          <w:rFonts w:eastAsiaTheme="minorHAnsi"/>
          <w:szCs w:val="22"/>
        </w:rPr>
        <w:noBreakHyphen/>
        <w:t>52</w:t>
      </w:r>
      <w:r>
        <w:rPr>
          <w:rFonts w:eastAsiaTheme="minorHAnsi"/>
          <w:szCs w:val="22"/>
        </w:rPr>
        <w:noBreakHyphen/>
        <w:t>410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Pr>
          <w:rFonts w:eastAsiaTheme="minorHAnsi"/>
          <w:szCs w:val="22"/>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Pr>
          <w:rFonts w:eastAsiaTheme="minorHAnsi"/>
          <w:szCs w:val="22"/>
        </w:rPr>
        <w:noBreakHyphen/>
        <w:t>52</w:t>
      </w:r>
      <w:r>
        <w:rPr>
          <w:rFonts w:eastAsiaTheme="minorHAnsi"/>
          <w:szCs w:val="22"/>
        </w:rPr>
        <w:noBreakHyphen/>
        <w:t>440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two representatives of investor</w:t>
      </w:r>
      <w:r>
        <w:rPr>
          <w:rFonts w:eastAsiaTheme="minorHAnsi"/>
          <w:szCs w:val="22"/>
        </w:rPr>
        <w:noBreakHyphen/>
        <w:t xml:space="preserve">owned electricity companies;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two representatives of electric cooperatives;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one representative of the South Carolina Public Service Authority, who shall serve ex officio;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one representative of municipally</w:t>
      </w:r>
      <w:r>
        <w:rPr>
          <w:rFonts w:eastAsiaTheme="minorHAnsi"/>
          <w:szCs w:val="22"/>
        </w:rPr>
        <w:noBreakHyphen/>
        <w:t xml:space="preserve">owned electric utilities;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one representative of publicly</w:t>
      </w:r>
      <w:r>
        <w:rPr>
          <w:rFonts w:eastAsiaTheme="minorHAnsi"/>
          <w:szCs w:val="22"/>
        </w:rPr>
        <w:noBreakHyphen/>
        <w:t xml:space="preserve">owned natural gas companies;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one representative of investor</w:t>
      </w:r>
      <w:r>
        <w:rPr>
          <w:rFonts w:eastAsiaTheme="minorHAnsi"/>
          <w:szCs w:val="22"/>
        </w:rPr>
        <w:noBreakHyphen/>
        <w:t xml:space="preserve">owned gas companies;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one representative of oil suppliers or dealers;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one representative of propane suppliers or dealers;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 xml:space="preserve">one representative of nonprofit public transportation providers;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Pr>
          <w:rFonts w:eastAsiaTheme="minorHAnsi"/>
          <w:szCs w:val="22"/>
        </w:rPr>
        <w:noBreakHyphen/>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Pr>
          <w:rFonts w:eastAsiaTheme="minorHAnsi"/>
          <w:szCs w:val="22"/>
        </w:rPr>
        <w:noBreakHyphen/>
        <w:t>52</w:t>
      </w:r>
      <w:r>
        <w:rPr>
          <w:rFonts w:eastAsiaTheme="minorHAnsi"/>
          <w:szCs w:val="22"/>
        </w:rPr>
        <w:noBreakHyphen/>
        <w:t>460 of the 1976 Code is amended to read:</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302397" w:rsidRDefault="003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MS Mincho"/>
          <w:szCs w:val="22"/>
        </w:rPr>
        <w:t>SECTION</w:t>
      </w:r>
      <w:r>
        <w:rPr>
          <w:rFonts w:eastAsia="MS Mincho"/>
          <w:szCs w:val="22"/>
        </w:rPr>
        <w:tab/>
        <w:t>8.</w:t>
      </w:r>
      <w:r>
        <w:rPr>
          <w:rFonts w:eastAsia="MS Mincho"/>
          <w:szCs w:val="22"/>
        </w:rPr>
        <w:tab/>
      </w:r>
      <w:r>
        <w:rPr>
          <w:rFonts w:eastAsiaTheme="minorHAnsi"/>
          <w:szCs w:val="22"/>
        </w:rPr>
        <w:t>Unless otherwise provided, Sections 1 through 4 and 6 through 8 take effect July 1, 2011, and expires on July 1, 2016, unless reauthorized by the General Assembly for an additional period so specified. Notwithstanding the above, Part III of this act containing Section 5 relating to the Legislative Oversight of Executive Departments takes effect July 1, 2009, and is not subject to an expiration date.</w:t>
      </w:r>
    </w:p>
    <w:p w:rsidR="00302397" w:rsidRDefault="007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397" w:rsidRDefault="00302397">
      <w:pPr>
        <w:pStyle w:val="BillDots"/>
      </w:pPr>
    </w:p>
    <w:sectPr w:rsidR="00302397" w:rsidSect="0030239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397" w:rsidRDefault="00734828">
      <w:r>
        <w:separator/>
      </w:r>
    </w:p>
  </w:endnote>
  <w:endnote w:type="continuationSeparator" w:id="0">
    <w:p w:rsidR="00302397" w:rsidRDefault="0073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F16330-7B0F-4843-BB50-065E9637214F}"/>
    <w:embedBold r:id="rId2" w:fontKey="{2250DF53-694C-409C-A978-4091B866E514}"/>
  </w:font>
  <w:font w:name="Calibri">
    <w:panose1 w:val="020F0502020204030204"/>
    <w:charset w:val="00"/>
    <w:family w:val="swiss"/>
    <w:pitch w:val="variable"/>
    <w:sig w:usb0="E10002FF" w:usb1="4000ACFF" w:usb2="00000009" w:usb3="00000000" w:csb0="0000019F" w:csb1="00000000"/>
    <w:embedRegular r:id="rId3" w:fontKey="{EB42A7C7-E586-4048-99DE-4E7F3EF9A2A6}"/>
  </w:font>
  <w:font w:name="Consolas">
    <w:panose1 w:val="020B0609020204030204"/>
    <w:charset w:val="00"/>
    <w:family w:val="modern"/>
    <w:pitch w:val="fixed"/>
    <w:sig w:usb0="E10002FF" w:usb1="4000FCFF" w:usb2="00000009" w:usb3="00000000" w:csb0="0000019F" w:csb1="00000000"/>
    <w:embedRegular r:id="rId4" w:fontKey="{7175F946-7716-4F8E-A35E-CC92C55D6F5D}"/>
  </w:font>
  <w:font w:name="Tahoma">
    <w:panose1 w:val="020B0604030504040204"/>
    <w:charset w:val="00"/>
    <w:family w:val="swiss"/>
    <w:pitch w:val="variable"/>
    <w:sig w:usb0="21002A87" w:usb1="80000000" w:usb2="00000008" w:usb3="00000000" w:csb0="000101FF" w:csb1="00000000"/>
    <w:embedRegular r:id="rId5" w:fontKey="{6EE7F58F-FED4-4858-84A3-595B8C49E62B}"/>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072C92F-E203-4F8D-8CB2-2A19D3132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397" w:rsidRDefault="00734828">
    <w:pPr>
      <w:pStyle w:val="Footer"/>
      <w:tabs>
        <w:tab w:val="clear" w:pos="4680"/>
        <w:tab w:val="clear" w:pos="9360"/>
        <w:tab w:val="center" w:pos="2995"/>
      </w:tabs>
      <w:spacing w:before="120"/>
    </w:pPr>
    <w:r>
      <w:t>[3147-</w:t>
    </w:r>
    <w:r w:rsidR="00670DA1">
      <w:fldChar w:fldCharType="begin"/>
    </w:r>
    <w:r w:rsidR="00670DA1">
      <w:instrText xml:space="preserve"> PAGE  \* MERGEFORMAT </w:instrText>
    </w:r>
    <w:r w:rsidR="00670DA1">
      <w:fldChar w:fldCharType="separate"/>
    </w:r>
    <w:r w:rsidR="00670DA1">
      <w:rPr>
        <w:noProof/>
      </w:rPr>
      <w:t>1</w:t>
    </w:r>
    <w:r w:rsidR="00670D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397" w:rsidRDefault="00734828">
    <w:pPr>
      <w:pStyle w:val="Footer"/>
      <w:tabs>
        <w:tab w:val="clear" w:pos="4680"/>
        <w:tab w:val="clear" w:pos="9360"/>
        <w:tab w:val="center" w:pos="2995"/>
      </w:tabs>
      <w:spacing w:before="120"/>
    </w:pPr>
    <w:r>
      <w:t>[3147]</w:t>
    </w:r>
    <w:r>
      <w:tab/>
    </w:r>
    <w:r w:rsidR="00670DA1">
      <w:fldChar w:fldCharType="begin"/>
    </w:r>
    <w:r w:rsidR="00670DA1">
      <w:instrText xml:space="preserve"> PAGE  \* MERGEFORMAT </w:instrText>
    </w:r>
    <w:r w:rsidR="00670DA1">
      <w:fldChar w:fldCharType="separate"/>
    </w:r>
    <w:r>
      <w:rPr>
        <w:noProof/>
      </w:rPr>
      <w:t>62</w:t>
    </w:r>
    <w:r w:rsidR="00670D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397" w:rsidRDefault="00734828">
      <w:r>
        <w:separator/>
      </w:r>
    </w:p>
  </w:footnote>
  <w:footnote w:type="continuationSeparator" w:id="0">
    <w:p w:rsidR="00302397" w:rsidRDefault="00734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1SD09"/>
    <w:docVar w:name="CoverBillType" w:val="b"/>
    <w:docVar w:name="docpath" w:val="L:\Council\bills\GJK\20031SD09.DOCX"/>
    <w:docVar w:name="dvBillNumber" w:val="3147"/>
    <w:docVar w:name="dvBillNumberPrefix" w:val="H. "/>
    <w:docVar w:name="dvOriginalBody" w:val="House"/>
    <w:docVar w:name="dvSteno" w:val="GJK"/>
    <w:docVar w:name="NameofBody" w:val="h"/>
    <w:docVar w:name="vgroup2" w:val="Council"/>
  </w:docVars>
  <w:rsids>
    <w:rsidRoot w:val="00302397"/>
    <w:rsid w:val="000E58BD"/>
    <w:rsid w:val="00107595"/>
    <w:rsid w:val="001666F0"/>
    <w:rsid w:val="00302397"/>
    <w:rsid w:val="00670DA1"/>
    <w:rsid w:val="00705149"/>
    <w:rsid w:val="00734828"/>
    <w:rsid w:val="009B2366"/>
    <w:rsid w:val="00A65457"/>
    <w:rsid w:val="00BF6010"/>
    <w:rsid w:val="00D3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E55BDC-9013-49D4-AD76-18421FB6A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397"/>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30239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2397"/>
    <w:rPr>
      <w:rFonts w:eastAsia="Times New Roman" w:cs="Times New Roman"/>
      <w:b/>
      <w:sz w:val="30"/>
      <w:szCs w:val="20"/>
    </w:rPr>
  </w:style>
  <w:style w:type="paragraph" w:styleId="Header">
    <w:name w:val="header"/>
    <w:basedOn w:val="Normal"/>
    <w:link w:val="HeaderChar"/>
    <w:semiHidden/>
    <w:unhideWhenUsed/>
    <w:rsid w:val="00302397"/>
    <w:pPr>
      <w:tabs>
        <w:tab w:val="center" w:pos="4320"/>
        <w:tab w:val="right" w:pos="8640"/>
      </w:tabs>
    </w:pPr>
  </w:style>
  <w:style w:type="character" w:customStyle="1" w:styleId="HeaderChar">
    <w:name w:val="Header Char"/>
    <w:basedOn w:val="DefaultParagraphFont"/>
    <w:link w:val="Header"/>
    <w:semiHidden/>
    <w:rsid w:val="00302397"/>
    <w:rPr>
      <w:rFonts w:eastAsia="Times New Roman" w:cs="Times New Roman"/>
      <w:szCs w:val="20"/>
    </w:rPr>
  </w:style>
  <w:style w:type="paragraph" w:styleId="Footer">
    <w:name w:val="footer"/>
    <w:basedOn w:val="Normal"/>
    <w:link w:val="FooterChar"/>
    <w:unhideWhenUsed/>
    <w:rsid w:val="00302397"/>
    <w:pPr>
      <w:tabs>
        <w:tab w:val="center" w:pos="4680"/>
        <w:tab w:val="right" w:pos="9360"/>
      </w:tabs>
    </w:pPr>
  </w:style>
  <w:style w:type="character" w:customStyle="1" w:styleId="FooterChar">
    <w:name w:val="Footer Char"/>
    <w:basedOn w:val="DefaultParagraphFont"/>
    <w:link w:val="Footer"/>
    <w:rsid w:val="00302397"/>
    <w:rPr>
      <w:rFonts w:eastAsia="Times New Roman" w:cs="Times New Roman"/>
      <w:szCs w:val="20"/>
    </w:rPr>
  </w:style>
  <w:style w:type="character" w:styleId="PageNumber">
    <w:name w:val="page number"/>
    <w:basedOn w:val="DefaultParagraphFont"/>
    <w:semiHidden/>
    <w:unhideWhenUsed/>
    <w:rsid w:val="00302397"/>
  </w:style>
  <w:style w:type="character" w:styleId="LineNumber">
    <w:name w:val="line number"/>
    <w:basedOn w:val="DefaultParagraphFont"/>
    <w:semiHidden/>
    <w:unhideWhenUsed/>
    <w:rsid w:val="00302397"/>
  </w:style>
  <w:style w:type="paragraph" w:customStyle="1" w:styleId="BillDots">
    <w:name w:val="Bill Dots"/>
    <w:basedOn w:val="Normal"/>
    <w:qFormat/>
    <w:rsid w:val="003023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2397"/>
    <w:pPr>
      <w:tabs>
        <w:tab w:val="right" w:pos="5904"/>
      </w:tabs>
    </w:pPr>
  </w:style>
  <w:style w:type="paragraph" w:styleId="PlainText">
    <w:name w:val="Plain Text"/>
    <w:basedOn w:val="Normal"/>
    <w:link w:val="PlainTextChar"/>
    <w:semiHidden/>
    <w:unhideWhenUsed/>
    <w:rsid w:val="00302397"/>
    <w:rPr>
      <w:rFonts w:ascii="Consolas" w:hAnsi="Consolas"/>
      <w:sz w:val="21"/>
      <w:szCs w:val="21"/>
    </w:rPr>
  </w:style>
  <w:style w:type="character" w:customStyle="1" w:styleId="PlainTextChar">
    <w:name w:val="Plain Text Char"/>
    <w:basedOn w:val="DefaultParagraphFont"/>
    <w:link w:val="PlainText"/>
    <w:semiHidden/>
    <w:rsid w:val="00302397"/>
    <w:rPr>
      <w:rFonts w:ascii="Consolas" w:eastAsia="Times New Roman" w:hAnsi="Consolas" w:cs="Times New Roman"/>
      <w:sz w:val="21"/>
      <w:szCs w:val="21"/>
    </w:rPr>
  </w:style>
  <w:style w:type="numbering" w:customStyle="1" w:styleId="NoList1">
    <w:name w:val="No List1"/>
    <w:next w:val="NoList"/>
    <w:uiPriority w:val="99"/>
    <w:semiHidden/>
    <w:unhideWhenUsed/>
    <w:rsid w:val="00302397"/>
  </w:style>
  <w:style w:type="paragraph" w:styleId="DocumentMap">
    <w:name w:val="Document Map"/>
    <w:basedOn w:val="Normal"/>
    <w:link w:val="DocumentMapChar"/>
    <w:semiHidden/>
    <w:rsid w:val="00302397"/>
    <w:pPr>
      <w:shd w:val="clear" w:color="auto" w:fill="000080"/>
    </w:pPr>
    <w:rPr>
      <w:rFonts w:ascii="Tahoma" w:hAnsi="Tahoma"/>
    </w:rPr>
  </w:style>
  <w:style w:type="character" w:customStyle="1" w:styleId="DocumentMapChar">
    <w:name w:val="Document Map Char"/>
    <w:basedOn w:val="DefaultParagraphFont"/>
    <w:link w:val="DocumentMap"/>
    <w:semiHidden/>
    <w:rsid w:val="00302397"/>
    <w:rPr>
      <w:rFonts w:ascii="Tahoma" w:eastAsia="Times New Roman" w:hAnsi="Tahoma" w:cs="Times New Roman"/>
      <w:szCs w:val="20"/>
      <w:shd w:val="clear" w:color="auto" w:fill="000080"/>
    </w:rPr>
  </w:style>
  <w:style w:type="paragraph" w:customStyle="1" w:styleId="FlushRightNumbers">
    <w:name w:val="Flush Right Numbers"/>
    <w:basedOn w:val="Normal"/>
    <w:rsid w:val="00302397"/>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302397"/>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302397"/>
    <w:rPr>
      <w:color w:val="800080"/>
      <w:u w:val="single"/>
    </w:rPr>
  </w:style>
  <w:style w:type="character" w:styleId="Hyperlink">
    <w:name w:val="Hyperlink"/>
    <w:basedOn w:val="DefaultParagraphFont"/>
    <w:uiPriority w:val="99"/>
    <w:unhideWhenUsed/>
    <w:rsid w:val="003023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4-01-09.docx" TargetMode="External"/><Relationship Id="rId18" Type="http://schemas.openxmlformats.org/officeDocument/2006/relationships/hyperlink" Target="file:///p:\pprever\2009-10\3147_20090331.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h:\HJ%20Archive\2009\03-31-09.docx" TargetMode="External"/><Relationship Id="rId17" Type="http://schemas.openxmlformats.org/officeDocument/2006/relationships/hyperlink" Target="file:///p:\pprever\2009-10\3147_20090325.docx" TargetMode="External"/><Relationship Id="rId2" Type="http://schemas.openxmlformats.org/officeDocument/2006/relationships/numbering" Target="numbering.xml"/><Relationship Id="rId16" Type="http://schemas.openxmlformats.org/officeDocument/2006/relationships/hyperlink" Target="file:///p:\pprever\2009-10\3147_200812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J%20Archive\2009\03-31-09.docx" TargetMode="External"/><Relationship Id="rId5" Type="http://schemas.openxmlformats.org/officeDocument/2006/relationships/webSettings" Target="webSettings.xml"/><Relationship Id="rId15" Type="http://schemas.openxmlformats.org/officeDocument/2006/relationships/hyperlink" Target="file:///h:\SJ%20Archive\2009\04-01-09.docx" TargetMode="External"/><Relationship Id="rId10" Type="http://schemas.openxmlformats.org/officeDocument/2006/relationships/hyperlink" Target="file:///h:\HJ%20Archive\2009\03-25-09.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h:\HJ%20Archive\2009\01-13-09.docx" TargetMode="External"/><Relationship Id="rId14" Type="http://schemas.openxmlformats.org/officeDocument/2006/relationships/hyperlink" Target="file:///h:\SJ%20Archive\2009\04-01-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707F-BD87-403D-AF88-E0EF5F510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22473</Words>
  <Characters>121770</Characters>
  <Application>Microsoft Office Word</Application>
  <DocSecurity>0</DocSecurity>
  <Lines>2703</Lines>
  <Paragraphs>508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3147: Restructuring Act - South Carolina Legislature Online</dc:title>
  <dc:subject/>
  <dc:creator>GAYLE KUBALA</dc:creator>
  <cp:keywords/>
  <dc:description/>
  <cp:lastModifiedBy>N Cumfer</cp:lastModifiedBy>
  <cp:revision>13</cp:revision>
  <cp:lastPrinted>2008-12-15T23:03:00Z</cp:lastPrinted>
  <dcterms:created xsi:type="dcterms:W3CDTF">2009-03-31T23:15:00Z</dcterms:created>
  <dcterms:modified xsi:type="dcterms:W3CDTF">2014-11-24T15:21:00Z</dcterms:modified>
</cp:coreProperties>
</file>