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3159</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Gunn and Wylie</w:t>
      </w: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l:\council\bills\agm\19311mm09.docx</w:t>
      </w: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15, 47, 87, 113</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Deferred presentment services</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C470CC">
      <w:pPr>
        <w:widowControl w:val="0"/>
        <w:tabs>
          <w:tab w:val="center" w:pos="590"/>
          <w:tab w:val="center" w:pos="1440"/>
          <w:tab w:val="left" w:pos="1872"/>
          <w:tab w:val="left" w:pos="9187"/>
        </w:tabs>
        <w:jc w:val="left"/>
      </w:pPr>
      <w:r>
        <w:rPr>
          <w:b/>
        </w:rPr>
        <w:t>HISTORY OF LEGISLATIVE ACTIONS</w:t>
      </w:r>
    </w:p>
    <w:p w:rsidR="00FF2D35" w:rsidRDefault="00FF2D35">
      <w:pPr>
        <w:widowControl w:val="0"/>
        <w:tabs>
          <w:tab w:val="center" w:pos="590"/>
          <w:tab w:val="center" w:pos="1440"/>
          <w:tab w:val="left" w:pos="1872"/>
          <w:tab w:val="left" w:pos="9187"/>
        </w:tabs>
        <w:jc w:val="left"/>
      </w:pPr>
    </w:p>
    <w:p w:rsidR="00FF2D35" w:rsidRDefault="00C470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2D35" w:rsidRDefault="00C470CC">
      <w:pPr>
        <w:widowControl w:val="0"/>
        <w:tabs>
          <w:tab w:val="right" w:pos="1008"/>
          <w:tab w:val="left" w:pos="1152"/>
          <w:tab w:val="left" w:pos="1872"/>
          <w:tab w:val="left" w:pos="9187"/>
        </w:tabs>
        <w:ind w:left="2088" w:hanging="2088"/>
        <w:jc w:val="left"/>
      </w:pPr>
      <w:r>
        <w:tab/>
        <w:t>12/16/2008</w:t>
      </w:r>
      <w:r>
        <w:tab/>
        <w:t>House</w:t>
      </w:r>
      <w:r>
        <w:tab/>
        <w:t>Prefiled</w:t>
      </w:r>
    </w:p>
    <w:p w:rsidR="00FF2D35" w:rsidRDefault="00C470CC">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Labor, Commerce and Industry</w:t>
      </w:r>
    </w:p>
    <w:p w:rsidR="00FF2D35" w:rsidRDefault="00C470C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B58AC">
          <w:rPr>
            <w:rStyle w:val="Hyperlink"/>
          </w:rPr>
          <w:t>HJ</w:t>
        </w:r>
      </w:hyperlink>
      <w:r>
        <w:noBreakHyphen/>
        <w:t>71</w:t>
      </w:r>
    </w:p>
    <w:p w:rsidR="00FF2D35" w:rsidRDefault="00C470C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7B58AC">
          <w:rPr>
            <w:rStyle w:val="Hyperlink"/>
          </w:rPr>
          <w:t>HJ</w:t>
        </w:r>
      </w:hyperlink>
      <w:r>
        <w:noBreakHyphen/>
        <w:t>73</w:t>
      </w:r>
    </w:p>
    <w:p w:rsidR="00FF2D35" w:rsidRDefault="00FF2D35">
      <w:pPr>
        <w:widowControl w:val="0"/>
        <w:tabs>
          <w:tab w:val="right" w:pos="1008"/>
          <w:tab w:val="left" w:pos="1152"/>
          <w:tab w:val="left" w:pos="1872"/>
          <w:tab w:val="left" w:pos="9187"/>
        </w:tabs>
        <w:ind w:left="2088" w:hanging="2088"/>
        <w:jc w:val="left"/>
      </w:pPr>
    </w:p>
    <w:p w:rsidR="00FF2D35" w:rsidRDefault="00FF2D35">
      <w:pPr>
        <w:widowControl w:val="0"/>
        <w:tabs>
          <w:tab w:val="right" w:pos="1008"/>
          <w:tab w:val="left" w:pos="1152"/>
          <w:tab w:val="left" w:pos="1872"/>
          <w:tab w:val="left" w:pos="9187"/>
        </w:tabs>
        <w:ind w:left="2088" w:hanging="2088"/>
        <w:jc w:val="left"/>
      </w:pPr>
    </w:p>
    <w:p w:rsidR="00FF2D35" w:rsidRDefault="00C470C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F2D35" w:rsidRDefault="00FF2D3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F2D35" w:rsidRDefault="00F839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470CC">
          <w:rPr>
            <w:rStyle w:val="Hyperlink"/>
          </w:rPr>
          <w:t>12/16/2008</w:t>
        </w:r>
      </w:hyperlink>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2D35">
          <w:pgSz w:w="12240" w:h="15840" w:code="1"/>
          <w:pgMar w:top="1080" w:right="1440" w:bottom="1080" w:left="1440" w:header="720" w:footer="720" w:gutter="0"/>
          <w:cols w:space="720"/>
          <w:noEndnote/>
          <w:docGrid w:linePitch="360"/>
        </w:sectPr>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PROVIDE FOR A COMMON DATABASE OF DEFERRED PRESENTMENT TRANSACTIONS IMPLEMENTED BY THE CONSUMER FINANCE DIVISION OF THE BOARD OF FINANCIAL INSTITUTIONS AND ACCESSIBLE TO DEFERRED PRESENTMENT PROVIDERS TO VERIFY IF AN APPLICANT HAS AN EXISTING OR RECENTLY TERMINATED DEFERRED PRESENTMENT TRANSACTION FOR PURPOSES OF DETERMINING ELIGIBILITY TO ENTER INTO A NEW TRANSACTION, TO PROVIDE FOR THE INFORMATION REQUIRED, AND TO ALLOW A FEE UP TO ONE DOLLAR FOR SUBMITTED DATA; BY ADDING SECTION 34</w:t>
      </w:r>
      <w:r>
        <w:noBreakHyphen/>
        <w:t>39</w:t>
      </w:r>
      <w:r>
        <w:noBreakHyphen/>
        <w:t>205 SO AS TO PROHIBIT MISLEADING ADVERTISING ON THE PREMISES OF A DEFERRED PRESENTMENT PROVIDER; BY ADDING SECTION 34</w:t>
      </w:r>
      <w:r>
        <w:noBreakHyphen/>
        <w:t>39</w:t>
      </w:r>
      <w:r>
        <w:noBreakHyphen/>
        <w:t>270 SO AS TO PROHIBIT A NEW DEFERRED PRESENTMENT TRANSACTION WITH A PERSON WHO HAS AN EXISTING TRANSACTION, AN EXTENDED PAYMENT PLAN, OR HAS ENDED A TRANSACTION EARLIER THAN SEVEN DAYS FROM APPLICATION, TO PROVIDE FURTHER FOR THE SUBMISSION OF AND ACCESS TO INFORMATION IN THE COMMON DATABASE, AND TO PROVIDE FOR A FEE AND FOR CONFIDENTIALITY; BY ADDING SECTION 34</w:t>
      </w:r>
      <w:r>
        <w:noBreakHyphen/>
        <w:t>39</w:t>
      </w:r>
      <w:r>
        <w:noBreakHyphen/>
        <w:t>280 SO AS TO PROVIDE FOR AN EXTENDED PAYMENT PLAN FOR PAYMENT OF AN OUTSTANDING DEFERRED PRESENTMENT TRANSACTION AND THE REQUIRED TERMS; BY ADDING SECTION 34</w:t>
      </w:r>
      <w:r>
        <w:noBreakHyphen/>
        <w:t>39</w:t>
      </w:r>
      <w:r>
        <w:noBreakHyphen/>
        <w:t xml:space="preserve">290 SO AS TO REQUIRE AN ANNUAL REPORT OF THESE TRANSACTIONS BY THE BOARD OF FINANCIAL INSTITUTIONS TO THE GENERAL ASSEMBLY; TO AMEND </w:t>
      </w:r>
      <w:r>
        <w:lastRenderedPageBreak/>
        <w:t>SECTION 34</w:t>
      </w:r>
      <w:r>
        <w:noBreakHyphen/>
        <w:t>39</w:t>
      </w:r>
      <w:r>
        <w:noBreakHyphen/>
        <w:t>130, RELATING TO LICENSURE REQUIREMENTS IN CONNECTION WITH A PERSON ENGAGING IN THE BUSINESS OF DEFERRED PRESENTMENT SERVICES, SO AS TO PROHIBIT BUSINESS IN THIS STATE WITHOUT A LICENSE, TO FURTHER DIFFERENTIATE BETWEEN A PERSON REQUIRED TO BE LICENSED AND A BONA FIDE STATE OR FEDERALLY CHARTERED BANK, THRIFT, SAVINGS ASSOCIATION, OR CREDIT UNION, AND TO REQUIRE COMPLIANCE WITH STATE AND FEDERAL LAW WHEN ACTING FOR A THIRD PARTY LENDER; TO AMEND SECTION 34</w:t>
      </w:r>
      <w:r>
        <w:noBreakHyphen/>
        <w:t>39</w:t>
      </w:r>
      <w:r>
        <w:noBreakHyphen/>
        <w:t>150, RELATING TO APPLICATION FOR LICENSURE, SO AS TO INCREASE THE APPLICATION FEE AND ANNUAL RENEWAL FEE FROM TWO HUNDRED FIFTY DOLLARS TO FIVE HUNDRED DOLLARS AND THE MULTIPLE LOCATION FEE FROM FIFTY DOLLARS TO ONE HUNDRED DOLLARS; TO AMEND SECTION 34</w:t>
      </w:r>
      <w:r>
        <w:noBreakHyphen/>
        <w:t>39</w:t>
      </w:r>
      <w:r>
        <w:noBreakHyphen/>
        <w:t>170, RELATING TO RESTRICTIONS ON THE ADVANCEMENT OF MONIES, SO AS TO PROHIBIT AN ELECTRONIC FUNDS TRANSFER FOR AUTOMATIC PAYMENT OF A DEFERRED PRESENTMENT TRANSACTION; TO AMEND SECTION 34</w:t>
      </w:r>
      <w:r>
        <w:noBreakHyphen/>
        <w:t>39</w:t>
      </w:r>
      <w:r>
        <w:noBreakHyphen/>
        <w:t>180, RELATING TO RESTRICTIONS AND REQUIREMENTS FOR A DEFERRED PRESENTMENT TRANSACTION, SO AS TO LIMIT THE TOTAL AMOUNT ADVANCED TO THE LESSER OF FIVE HUNDRED DOLLARS OR TWENTY</w:t>
      </w:r>
      <w:r>
        <w:noBreakHyphen/>
        <w:t>FIVE PERCENT OF THE CUSTOMER’S GROSS INCOME DURING THE LOAN PERIOD, TO REQUIRE DISCLOSURE OF THE NATURE OF THE TRANSACTION AND THE CUSTOMER’S RIGHTS, TO PROHIBIT A LOAN TO A PERSON WHO IS ENGAGED IN AN EXTENDED PAYMENT PLAN, AND TO PROVIDE FOR FORMS FOR CALCULATION OF PERMISSIBLE LOAN AMOUNTS; AND TO AMEND SECTION 34</w:t>
      </w:r>
      <w:r>
        <w:noBreakHyphen/>
        <w:t>39</w:t>
      </w:r>
      <w:r>
        <w:noBreakHyphen/>
        <w:t>200, RELATING TO LIMITATIONS ON LICENSEES, SO AS TO REQUIRE COMPLIANCE WITH LAW WHEN ACTING FOR A THIRD</w:t>
      </w:r>
      <w:r>
        <w:noBreakHyphen/>
        <w:t>PARTY LENDER.</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39 of Title 34 is amended by adding:</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Pr>
          <w:rFonts w:eastAsia="MS Mincho"/>
        </w:rPr>
        <w:t>Section 34</w:t>
      </w:r>
      <w:r>
        <w:rPr>
          <w:rFonts w:eastAsia="MS Mincho"/>
        </w:rPr>
        <w:noBreakHyphen/>
        <w:t>39</w:t>
      </w:r>
      <w:r>
        <w:rPr>
          <w:rFonts w:eastAsia="MS Mincho"/>
        </w:rPr>
        <w:noBreakHyphen/>
        <w:t>175.</w:t>
      </w:r>
      <w:r>
        <w:rPr>
          <w:rFonts w:eastAsia="MS Mincho"/>
        </w:rPr>
        <w:tab/>
        <w:t>(A)</w:t>
      </w:r>
      <w:r>
        <w:rPr>
          <w:rFonts w:eastAsia="MS Mincho"/>
        </w:rPr>
        <w:tab/>
        <w:t>The Consumer Finance Division of the Board of Financial Institutions shall implement a common database with real</w:t>
      </w:r>
      <w:r>
        <w:rPr>
          <w:rFonts w:eastAsia="MS Mincho"/>
        </w:rPr>
        <w:noBreakHyphen/>
        <w:t>time access through an internet connection for deferred presentment providers, as provided in this subsection. The board may enter into a contract with a single source private vendor to develop and operate the database. The database must be accessible to the board and the deferred presentment providers to verify if deferred presentment transactions are outstanding for a particular person.  A deferred presentment provider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39, Title 34 of the 1976 Code is amended by adding:</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205.</w:t>
      </w:r>
      <w:r>
        <w:rPr>
          <w:rFonts w:eastAsia="MS Mincho"/>
        </w:rPr>
        <w:tab/>
        <w:t>On</w:t>
      </w:r>
      <w:r>
        <w:rPr>
          <w:rFonts w:eastAsia="MS Mincho"/>
        </w:rPr>
        <w:noBreakHyphen/>
        <w:t>premises advertising by a licensee may not contain false, misleading, or deceptive statements or representations.  The board shall promulgate regulations necessary to administer and enforce this section.”</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3.</w:t>
      </w:r>
      <w:r>
        <w:tab/>
      </w:r>
      <w:r>
        <w:rPr>
          <w:rFonts w:eastAsia="MS Mincho"/>
        </w:rPr>
        <w:t>Chapter 39, Title 34 of the 1976 Code is amended by adding:</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270.</w:t>
      </w:r>
      <w:r>
        <w:rPr>
          <w:rFonts w:eastAsia="MS Mincho"/>
        </w:rPr>
        <w:tab/>
        <w:t>(A)</w:t>
      </w:r>
      <w:r>
        <w:rPr>
          <w:rFonts w:eastAsia="MS Mincho"/>
        </w:rPr>
        <w:tab/>
        <w:t>A licensee may not enter into a deferred presentment transaction with a person:</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who has an outstanding deferred presentment transaction with any licensee;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who has entered into an extended payment plan agreement as provided in Section 34</w:t>
      </w:r>
      <w:r>
        <w:rPr>
          <w:rFonts w:eastAsia="MS Mincho"/>
        </w:rPr>
        <w:noBreakHyphen/>
        <w:t>39</w:t>
      </w:r>
      <w:r>
        <w:rPr>
          <w:rFonts w:eastAsia="MS Mincho"/>
        </w:rPr>
        <w:noBreakHyphen/>
        <w:t>280 which has not been paid in full or terminated; or</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sooner than the seventh day after the date upon which the person last closed out a deferred presentment transaction with any licensee.</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rPr>
        <w:noBreakHyphen/>
        <w:t xml:space="preserve">half of the actual cost of the verification fee.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A licensee may rely on the information contained in the database as accurate and is not subject to any administrative penalty or civil liability as a result of relying on inaccurate information contained in the database.</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t xml:space="preserve">Subject to the terms and conditions contained in this section, a customer may pay an outstanding deferred presentment transaction by means of an extended payment plan.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licensee shall enter into a written plan agreement with the customer if the customer, on or before the deferred presentment transaction’s due date, requests a plan and signs an amendment to the written agreement that memorializes the plan’s terms and shall enter into the database established in Section 34</w:t>
      </w:r>
      <w:r>
        <w:rPr>
          <w:rFonts w:eastAsia="MS Mincho"/>
        </w:rPr>
        <w:noBreakHyphen/>
        <w:t>29</w:t>
      </w:r>
      <w:r>
        <w:rPr>
          <w:rFonts w:eastAsia="MS Mincho"/>
        </w:rPr>
        <w:noBreakHyphen/>
        <w:t xml:space="preserve">175 the information that the customer has an extended payment plan.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 plan installment when due, the plan is terminated and the licensee immediately may accelerate and collect the unpaid transaction balance.  The licensee, with each payment under the plan by a customer, may provide for the return of the customer’s prior held check and require a new check for the remaining balance under the plan.</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licensee must notify the customer of his plan rights by displaying the following statement, in at least 12</w:t>
      </w:r>
      <w:r>
        <w:rPr>
          <w:rFonts w:eastAsia="MS Mincho"/>
        </w:rPr>
        <w:noBreakHyphen/>
        <w:t xml:space="preserve">point bold type, on the first page of the written agreement: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‘You should use a deferred presentment transaction only for a short</w:t>
      </w:r>
      <w:r>
        <w:rPr>
          <w:rFonts w:eastAsia="MS Mincho"/>
        </w:rPr>
        <w:noBreakHyphen/>
        <w:t>term credit need. If you have a long</w:t>
      </w:r>
      <w:r>
        <w:rPr>
          <w:rFonts w:eastAsia="MS Mincho"/>
        </w:rPr>
        <w:noBreakHyphen/>
        <w:t>term credit need, you should consider a less costly way to borrow money or seek the advice of a nonprofit credit counselor. You may repay this contract through an extended payment plan. If you choose this right, then, on or before the date this contract is due, you must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290.</w:t>
      </w:r>
      <w:r>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loans made in South Carolina by loan amount and the dollar amount of fees collected by loan amount;</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individual borrowers by loan amount and the number of borrowers by the number of times each borrower took out a loan;</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borrowers who chose to pay off their loans through an extended payment plan by loan amount;</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loans that were not paid off in the previous year by loan amount; and</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loans on which the lender submitted the check for collection by loan amount and the number of loans on which the lender took action for collection.”</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34</w:t>
      </w:r>
      <w:r>
        <w:rPr>
          <w:rFonts w:eastAsia="MS Mincho"/>
        </w:rPr>
        <w:noBreakHyphen/>
        <w:t>39</w:t>
      </w:r>
      <w:r>
        <w:rPr>
          <w:rFonts w:eastAsia="MS Mincho"/>
        </w:rPr>
        <w:noBreakHyphen/>
        <w:t xml:space="preserve">130 of the 1976 Code, as added by Act 433 of 1998, is amended by adding at the end: </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initially advanced the loan proceeds to the customer;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maintained a preponderant economic interest in the loan after its initiation; and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developed the deferred deposit transaction product or products on its own without involvement of the licensee.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34</w:t>
      </w:r>
      <w:r>
        <w:rPr>
          <w:rFonts w:eastAsia="MS Mincho"/>
        </w:rPr>
        <w:noBreakHyphen/>
        <w:t>39</w:t>
      </w:r>
      <w:r>
        <w:rPr>
          <w:rFonts w:eastAsia="MS Mincho"/>
        </w:rPr>
        <w:noBreakHyphen/>
        <w:t>150(C) and (D) of the 1976 Code, as added by Act 433 of 1998, is amended to read:</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application must be accompanied by payment of an application fee of </w:t>
      </w:r>
      <w:r>
        <w:rPr>
          <w:rFonts w:eastAsia="MS Mincho"/>
          <w:strike/>
        </w:rPr>
        <w:t>two hundred fifty dollars</w:t>
      </w:r>
      <w:r>
        <w:rPr>
          <w:rFonts w:eastAsia="MS Mincho"/>
        </w:rPr>
        <w:t xml:space="preserve"> </w:t>
      </w:r>
      <w:r>
        <w:rPr>
          <w:rFonts w:eastAsia="MS Mincho"/>
          <w:u w:val="single"/>
        </w:rPr>
        <w:t xml:space="preserve">five hundred dollars </w:t>
      </w:r>
      <w:r>
        <w:rPr>
          <w:rFonts w:eastAsia="MS Mincho"/>
        </w:rPr>
        <w:t xml:space="preserve">and an investigation fee of five hundred dollars. These fees are not refundable or abatable. If the license is granted, however, payment of the application fee satisfies the fee requirement for the first license year or its remainder.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t>(D)</w:t>
      </w:r>
      <w:r>
        <w:tab/>
      </w:r>
      <w:r>
        <w:rPr>
          <w:rFonts w:eastAsia="MS Mincho"/>
        </w:rPr>
        <w:t>A license expires annually and may be renewed upon payment of a license fee of</w:t>
      </w:r>
      <w:r>
        <w:rPr>
          <w:rFonts w:eastAsia="MS Mincho"/>
          <w:strike/>
        </w:rPr>
        <w:t xml:space="preserve"> two hundred fifty dollars</w:t>
      </w:r>
      <w:r>
        <w:rPr>
          <w:rFonts w:eastAsia="MS Mincho"/>
        </w:rPr>
        <w:t xml:space="preserve"> </w:t>
      </w:r>
      <w:r>
        <w:rPr>
          <w:rFonts w:eastAsia="MS Mincho"/>
          <w:u w:val="single"/>
        </w:rPr>
        <w:t>five hundred dollars</w:t>
      </w:r>
      <w:r>
        <w:rPr>
          <w:rFonts w:eastAsia="MS Mincho"/>
        </w:rPr>
        <w:t xml:space="preserve">.  The annual license renewal fee for an applicant with more than one location is </w:t>
      </w:r>
      <w:r>
        <w:rPr>
          <w:rFonts w:eastAsia="MS Mincho"/>
          <w:strike/>
        </w:rPr>
        <w:t>two hundred fifty</w:t>
      </w:r>
      <w:r>
        <w:rPr>
          <w:rFonts w:eastAsia="MS Mincho"/>
        </w:rPr>
        <w:t xml:space="preserve"> </w:t>
      </w:r>
      <w:r>
        <w:rPr>
          <w:rFonts w:eastAsia="MS Mincho"/>
          <w:u w:val="single"/>
        </w:rPr>
        <w:t>five hundred</w:t>
      </w:r>
      <w:r>
        <w:rPr>
          <w:rFonts w:eastAsia="MS Mincho"/>
        </w:rPr>
        <w:t xml:space="preserve"> dollars for the first location and </w:t>
      </w:r>
      <w:r>
        <w:rPr>
          <w:rFonts w:eastAsia="MS Mincho"/>
          <w:strike/>
        </w:rPr>
        <w:t>fifty</w:t>
      </w:r>
      <w:r>
        <w:rPr>
          <w:rFonts w:eastAsia="MS Mincho"/>
        </w:rPr>
        <w:t xml:space="preserve"> </w:t>
      </w:r>
      <w:r>
        <w:rPr>
          <w:rFonts w:eastAsia="MS Mincho"/>
          <w:u w:val="single"/>
        </w:rPr>
        <w:t>one hundred</w:t>
      </w:r>
      <w:r>
        <w:rPr>
          <w:rFonts w:eastAsia="MS Mincho"/>
        </w:rPr>
        <w:t xml:space="preserve"> dollars for each additional location.  </w:t>
      </w:r>
      <w:r>
        <w:rPr>
          <w:rFonts w:eastAsia="MS Mincho"/>
          <w:u w:val="single"/>
        </w:rPr>
        <w:t>All license fees collected must be remitted to the general fund.</w:t>
      </w:r>
      <w:r>
        <w:rPr>
          <w:rFonts w:eastAsia="MS Mincho"/>
        </w:rPr>
        <w:t>”</w:t>
      </w:r>
      <w:r>
        <w:rPr>
          <w:rFonts w:eastAsia="MS Mincho"/>
        </w:rPr>
        <w:tab/>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rFonts w:eastAsia="MS Mincho"/>
        </w:rPr>
        <w:t>SECTION</w:t>
      </w:r>
      <w:r>
        <w:rPr>
          <w:rFonts w:eastAsia="MS Mincho"/>
        </w:rPr>
        <w:tab/>
        <w:t>6.</w:t>
      </w:r>
      <w:r>
        <w:rPr>
          <w:rFonts w:eastAsia="MS Mincho"/>
        </w:rPr>
        <w:tab/>
      </w:r>
      <w:r>
        <w:t>Section 34</w:t>
      </w:r>
      <w:r>
        <w:noBreakHyphen/>
        <w:t>39</w:t>
      </w:r>
      <w:r>
        <w:noBreakHyphen/>
        <w:t>170 of the 1976 Code, as added by Act 433 of 1998, is amended by adding an appropriately numbered new item to read:</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  )</w:t>
      </w:r>
      <w:r>
        <w:tab/>
        <w:t>A licensee and a customer may not enter into an electronic funds transfer agreement to make automatic debited loan payments for any portion of a deferred presentment agreement.”</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34</w:t>
      </w:r>
      <w:r>
        <w:rPr>
          <w:rFonts w:eastAsia="MS Mincho"/>
        </w:rPr>
        <w:noBreakHyphen/>
        <w:t>39</w:t>
      </w:r>
      <w:r>
        <w:rPr>
          <w:rFonts w:eastAsia="MS Mincho"/>
        </w:rPr>
        <w:noBreakHyphen/>
        <w:t>180 of the 1976 Code, as added by Act 433 of 1998, is amended to read:</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34</w:t>
      </w:r>
      <w:r>
        <w:rPr>
          <w:rFonts w:eastAsia="MS Mincho"/>
        </w:rPr>
        <w:noBreakHyphen/>
        <w:t>39</w:t>
      </w:r>
      <w:r>
        <w:rPr>
          <w:rFonts w:eastAsia="MS Mincho"/>
        </w:rPr>
        <w:noBreakHyphen/>
        <w:t>180.</w:t>
      </w:r>
      <w:r>
        <w:rPr>
          <w:rFonts w:eastAsia="MS Mincho"/>
        </w:rPr>
        <w:tab/>
        <w:t xml:space="preserve"> (A) </w:t>
      </w:r>
      <w:r>
        <w:rPr>
          <w:rFonts w:eastAsia="MS Mincho"/>
          <w:strike/>
        </w:rPr>
        <w:t>A licensee may</w:t>
      </w:r>
      <w:r>
        <w:rPr>
          <w:rFonts w:eastAsia="MS Mincho"/>
        </w:rPr>
        <w:t xml:space="preserve"> </w:t>
      </w:r>
      <w:r>
        <w:rPr>
          <w:rFonts w:eastAsia="MS Mincho"/>
          <w:strike/>
        </w:rPr>
        <w:t>defer the presentment or deposit of a check for up to thirty</w:t>
      </w:r>
      <w:r>
        <w:rPr>
          <w:rFonts w:eastAsia="MS Mincho"/>
          <w:strike/>
        </w:rPr>
        <w:noBreakHyphen/>
        <w:t>one days pursuant to the provisions of this section.</w:t>
      </w:r>
      <w:r>
        <w:rPr>
          <w:rFonts w:eastAsia="MS Mincho"/>
        </w:rPr>
        <w:t xml:space="preserve">  </w:t>
      </w:r>
      <w:r>
        <w:rPr>
          <w:rFonts w:eastAsia="MS Mincho"/>
          <w:u w:val="single"/>
        </w:rPr>
        <w:t>The total amount advanced by all licensees to any customer for deferred presentment or deposit may not exceed the lesser of twenty</w:t>
      </w:r>
      <w:r>
        <w:rPr>
          <w:rFonts w:eastAsia="MS Mincho"/>
          <w:u w:val="single"/>
        </w:rPr>
        <w:noBreakHyphen/>
        <w:t>five percent of the customer’s gross income during the term of the loan or five hundred dollars, exclusive of the fees allowed in Section 34</w:t>
      </w:r>
      <w:r>
        <w:rPr>
          <w:rFonts w:eastAsia="MS Mincho"/>
          <w:u w:val="single"/>
        </w:rPr>
        <w:noBreakHyphen/>
        <w:t>39</w:t>
      </w:r>
      <w:r>
        <w:rPr>
          <w:rFonts w:eastAsia="MS Mincho"/>
          <w:u w:val="single"/>
        </w:rPr>
        <w:noBreakHyphen/>
        <w:t>180(E).  A licensee may not advance to a customer an amount for deferred presentment or deposit which causes this limit to be exceeded by that customer.</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rPr>
        <w:noBreakHyphen/>
        <w:t xml:space="preserve">one days from the date the check is accepted by the licensee. </w:t>
      </w:r>
      <w:r>
        <w:rPr>
          <w:rFonts w:eastAsia="MS Mincho"/>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board shall require each licensee to issue a standardized consumer notification and disclosure form in compliance with state and federal truth</w:t>
      </w:r>
      <w:r>
        <w:rPr>
          <w:rFonts w:eastAsia="MS Mincho"/>
        </w:rPr>
        <w:noBreakHyphen/>
        <w:t>in</w:t>
      </w:r>
      <w:r>
        <w:rPr>
          <w:rFonts w:eastAsia="MS Mincho"/>
        </w:rPr>
        <w:noBreakHyphen/>
        <w:t xml:space="preserve">lending laws before entering into a deferred presentment agreement </w:t>
      </w:r>
      <w:r>
        <w:rPr>
          <w:rFonts w:eastAsia="MS Mincho"/>
          <w:u w:val="single"/>
        </w:rPr>
        <w:t>with a customer</w:t>
      </w:r>
      <w:r>
        <w:rPr>
          <w:rFonts w:eastAsia="MS Mincho"/>
        </w:rPr>
        <w:t xml:space="preserv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 licensee </w:t>
      </w:r>
      <w:r>
        <w:rPr>
          <w:rFonts w:eastAsia="MS Mincho"/>
          <w:strike/>
        </w:rPr>
        <w:t>shall</w:t>
      </w:r>
      <w:r>
        <w:rPr>
          <w:rFonts w:eastAsia="MS Mincho"/>
        </w:rPr>
        <w:t xml:space="preserve"> </w:t>
      </w:r>
      <w:r>
        <w:rPr>
          <w:rFonts w:eastAsia="MS Mincho"/>
          <w:u w:val="single"/>
        </w:rPr>
        <w:t>may</w:t>
      </w:r>
      <w:r>
        <w:rPr>
          <w:rFonts w:eastAsia="MS Mincho"/>
        </w:rPr>
        <w:t xml:space="preserve"> not charge, directly or indirectly, a fee or other consideration in excess of fifteen percent of the </w:t>
      </w:r>
      <w:r>
        <w:rPr>
          <w:rFonts w:eastAsia="MS Mincho"/>
          <w:strike/>
        </w:rPr>
        <w:t>face</w:t>
      </w:r>
      <w:r>
        <w:rPr>
          <w:rFonts w:eastAsia="MS Mincho"/>
        </w:rPr>
        <w:t xml:space="preserve"> amount </w:t>
      </w:r>
      <w:r>
        <w:rPr>
          <w:rFonts w:eastAsia="MS Mincho"/>
          <w:strike/>
        </w:rPr>
        <w:t>of the check</w:t>
      </w:r>
      <w:r>
        <w:rPr>
          <w:rFonts w:eastAsia="MS Mincho"/>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strike/>
        </w:rPr>
        <w:t>may be</w:t>
      </w:r>
      <w:r>
        <w:rPr>
          <w:rFonts w:eastAsia="MS Mincho"/>
        </w:rPr>
        <w:t xml:space="preserve"> </w:t>
      </w:r>
      <w:r>
        <w:rPr>
          <w:rFonts w:eastAsia="MS Mincho"/>
          <w:u w:val="single"/>
        </w:rPr>
        <w:t>is</w:t>
      </w:r>
      <w:r>
        <w:rPr>
          <w:rFonts w:eastAsia="MS Mincho"/>
        </w:rPr>
        <w:t xml:space="preserve"> imposed only once for each written agreement.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(E)</w:t>
      </w:r>
      <w:r>
        <w:rPr>
          <w:rFonts w:eastAsia="MS Mincho"/>
        </w:rPr>
        <w:tab/>
        <w:t xml:space="preserve">A check accepted for deferred presentment or deposit pursuant to this chapter </w:t>
      </w:r>
      <w:r>
        <w:rPr>
          <w:rFonts w:eastAsia="MS Mincho"/>
          <w:strike/>
        </w:rPr>
        <w:t>may</w:t>
      </w:r>
      <w:r>
        <w:rPr>
          <w:rFonts w:eastAsia="MS Mincho"/>
        </w:rPr>
        <w:t xml:space="preserve"> </w:t>
      </w:r>
      <w:r>
        <w:rPr>
          <w:rFonts w:eastAsia="MS Mincho"/>
          <w:u w:val="single"/>
        </w:rPr>
        <w:t>must</w:t>
      </w:r>
      <w:r>
        <w:rPr>
          <w:rFonts w:eastAsia="MS Mincho"/>
        </w:rPr>
        <w:t xml:space="preserve"> not be repaid from the proceeds of another check accepted for deferred presentment or deposit by the same licensee or an affiliate of the licensee. A licensee </w:t>
      </w:r>
      <w:r>
        <w:rPr>
          <w:rFonts w:eastAsia="MS Mincho"/>
          <w:strike/>
        </w:rPr>
        <w:t>shall</w:t>
      </w:r>
      <w:r>
        <w:rPr>
          <w:rFonts w:eastAsia="MS Mincho"/>
        </w:rPr>
        <w:t xml:space="preserve"> </w:t>
      </w:r>
      <w:r>
        <w:rPr>
          <w:rFonts w:eastAsia="MS Mincho"/>
          <w:u w:val="single"/>
        </w:rPr>
        <w:t>may</w:t>
      </w:r>
      <w:r>
        <w:rPr>
          <w:rFonts w:eastAsia="MS Mincho"/>
        </w:rPr>
        <w:t xml:space="preserve"> not renew or otherwise extend presentment of a check or withhold the check from deposit, for old or new consideration, for a period beyond the time set forth in the written agreement with the customer.  </w:t>
      </w:r>
      <w:r>
        <w:rPr>
          <w:rFonts w:eastAsia="MS Mincho"/>
          <w:u w:val="single"/>
        </w:rPr>
        <w:t>A licensee shall not enter into a deferred presentment agreement with a customer who has entered into an extended payment plan agreement with any licensee as provided in Section 34</w:t>
      </w:r>
      <w:r>
        <w:rPr>
          <w:rFonts w:eastAsia="MS Mincho"/>
          <w:u w:val="single"/>
        </w:rPr>
        <w:noBreakHyphen/>
        <w:t>39</w:t>
      </w:r>
      <w:r>
        <w:rPr>
          <w:rFonts w:eastAsia="MS Mincho"/>
          <w:u w:val="single"/>
        </w:rPr>
        <w:noBreakHyphen/>
        <w:t>280.</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rPr>
        <w:noBreakHyphen/>
        <w:t>11</w:t>
      </w:r>
      <w:r>
        <w:rPr>
          <w:rFonts w:eastAsia="MS Mincho"/>
        </w:rPr>
        <w:noBreakHyphen/>
        <w:t xml:space="preserve">70(a), except that the service charge imposed by the licensee </w:t>
      </w:r>
      <w:r>
        <w:rPr>
          <w:rFonts w:eastAsia="MS Mincho"/>
          <w:strike/>
        </w:rPr>
        <w:t>shall</w:t>
      </w:r>
      <w:r>
        <w:rPr>
          <w:rFonts w:eastAsia="MS Mincho"/>
        </w:rPr>
        <w:t xml:space="preserve"> </w:t>
      </w:r>
      <w:r>
        <w:rPr>
          <w:rFonts w:eastAsia="MS Mincho"/>
          <w:u w:val="single"/>
        </w:rPr>
        <w:t>may</w:t>
      </w:r>
      <w:r>
        <w:rPr>
          <w:rFonts w:eastAsia="MS Mincho"/>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(G)</w:t>
      </w:r>
      <w: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noBreakHyphen/>
        <w:t>11</w:t>
      </w:r>
      <w: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(H)</w:t>
      </w:r>
      <w:r>
        <w:tab/>
      </w:r>
      <w:r>
        <w:rPr>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t>”</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34</w:t>
      </w:r>
      <w:r>
        <w:rPr>
          <w:rFonts w:eastAsia="MS Mincho"/>
        </w:rPr>
        <w:noBreakHyphen/>
        <w:t>39</w:t>
      </w:r>
      <w:r>
        <w:rPr>
          <w:rFonts w:eastAsia="MS Mincho"/>
        </w:rPr>
        <w:noBreakHyphen/>
        <w:t xml:space="preserve">200 of the 1976 Code, as added by Act 433 of 1998, is amended to read: </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200.</w:t>
      </w:r>
      <w:r>
        <w:rPr>
          <w:rFonts w:eastAsia="MS Mincho"/>
        </w:rPr>
        <w:tab/>
        <w:t xml:space="preserve">A person required to be licensed pursuant to this chapter may not: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engage in the business of: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w:t>
      </w:r>
      <w:r>
        <w:rPr>
          <w:rFonts w:eastAsia="MS Mincho"/>
        </w:rPr>
        <w:tab/>
        <w:t xml:space="preserve">discounting notes, bills of exchange, items, or other evidences of debt; or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use or cause to be published or disseminated advertising communication which contains false, misleading, or deceptive statements or representations;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 xml:space="preserve">conduct business at premises or locations other than locations licensed by the board;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engage in unfair, deceptive, or fraudulent practices, including unconscionable conduct in violation of Section 37</w:t>
      </w:r>
      <w:r>
        <w:rPr>
          <w:rFonts w:eastAsia="MS Mincho"/>
        </w:rPr>
        <w:noBreakHyphen/>
        <w:t>5</w:t>
      </w:r>
      <w:r>
        <w:rPr>
          <w:rFonts w:eastAsia="MS Mincho"/>
        </w:rPr>
        <w:noBreakHyphen/>
        <w:t xml:space="preserve">108;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 xml:space="preserve">alter or delete the date on a check accepted by the licensee;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 xml:space="preserve">accept an undated check or a check dated on a date other than the date on which the licensee accepts the check;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 xml:space="preserve">require a customer to provide security for the transaction or require the customer to provide a guaranty from another person;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w:t>
      </w:r>
      <w:r>
        <w:rPr>
          <w:rFonts w:eastAsia="MS Mincho"/>
          <w:strike/>
        </w:rPr>
        <w:t>provided, however</w:t>
      </w:r>
      <w:r>
        <w:rPr>
          <w:rFonts w:eastAsia="MS Mincho"/>
        </w:rPr>
        <w:t xml:space="preserve"> </w:t>
      </w:r>
      <w:r>
        <w:rPr>
          <w:rFonts w:eastAsia="MS Mincho"/>
          <w:u w:val="single"/>
        </w:rPr>
        <w:t>except</w:t>
      </w:r>
      <w:r>
        <w:rPr>
          <w:rFonts w:eastAsia="MS Mincho"/>
        </w:rPr>
        <w:t>, that a sale of money orders</w:t>
      </w:r>
      <w:r>
        <w:rPr>
          <w:rFonts w:eastAsia="MS Mincho"/>
          <w:strike/>
        </w:rPr>
        <w:t>,</w:t>
      </w:r>
      <w:r>
        <w:rPr>
          <w:rFonts w:eastAsia="MS Mincho"/>
        </w:rPr>
        <w:t xml:space="preserve"> </w:t>
      </w:r>
      <w:r>
        <w:rPr>
          <w:rFonts w:eastAsia="MS Mincho"/>
          <w:u w:val="single"/>
        </w:rPr>
        <w:t>or</w:t>
      </w:r>
      <w:r>
        <w:rPr>
          <w:rFonts w:eastAsia="MS Mincho"/>
        </w:rPr>
        <w:t xml:space="preserve"> postage stamps, </w:t>
      </w:r>
      <w:r>
        <w:rPr>
          <w:rFonts w:eastAsia="MS Mincho"/>
          <w:u w:val="single"/>
        </w:rPr>
        <w:t>and the</w:t>
      </w:r>
      <w:r>
        <w:rPr>
          <w:rFonts w:eastAsia="MS Mincho"/>
        </w:rPr>
        <w:t xml:space="preserve"> payment of utility bills with </w:t>
      </w:r>
      <w:r>
        <w:rPr>
          <w:rFonts w:eastAsia="MS Mincho"/>
          <w:strike/>
        </w:rPr>
        <w:t>no additional</w:t>
      </w:r>
      <w:r>
        <w:rPr>
          <w:rFonts w:eastAsia="MS Mincho"/>
        </w:rPr>
        <w:t xml:space="preserve"> a fee to the customer </w:t>
      </w:r>
      <w:r>
        <w:rPr>
          <w:rFonts w:eastAsia="MS Mincho"/>
          <w:u w:val="single"/>
        </w:rPr>
        <w:t>that does not exceed one percent of the bill being paid</w:t>
      </w:r>
      <w:r>
        <w:rPr>
          <w:rFonts w:eastAsia="MS Mincho"/>
        </w:rPr>
        <w:t xml:space="preserve">, vending machines for food or beverage, facsimile services, </w:t>
      </w:r>
      <w:r>
        <w:rPr>
          <w:rFonts w:eastAsia="MS Mincho"/>
          <w:strike/>
        </w:rPr>
        <w:t>Western Union</w:t>
      </w:r>
      <w:r>
        <w:rPr>
          <w:rFonts w:eastAsia="MS Mincho"/>
        </w:rPr>
        <w:t xml:space="preserve">  </w:t>
      </w:r>
      <w:r>
        <w:rPr>
          <w:rFonts w:eastAsia="MS Mincho"/>
          <w:u w:val="single"/>
        </w:rPr>
        <w:t>wire transfer or money transmitter</w:t>
      </w:r>
      <w:r>
        <w:rPr>
          <w:rFonts w:eastAsia="MS Mincho"/>
        </w:rPr>
        <w:t xml:space="preserve"> services, or </w:t>
      </w:r>
      <w:r>
        <w:rPr>
          <w:rFonts w:eastAsia="MS Mincho"/>
          <w:u w:val="single"/>
        </w:rPr>
        <w:t>rental of</w:t>
      </w:r>
      <w:r>
        <w:rPr>
          <w:rFonts w:eastAsia="MS Mincho"/>
        </w:rPr>
        <w:t xml:space="preserve"> postal boxes at rates not higher than allowed by the United States Postal Service </w:t>
      </w:r>
      <w:r>
        <w:rPr>
          <w:rFonts w:eastAsia="MS Mincho"/>
          <w:strike/>
        </w:rPr>
        <w:t>is</w:t>
      </w:r>
      <w:r>
        <w:rPr>
          <w:rFonts w:eastAsia="MS Mincho"/>
        </w:rPr>
        <w:t xml:space="preserve"> </w:t>
      </w:r>
      <w:r>
        <w:rPr>
          <w:rFonts w:eastAsia="MS Mincho"/>
          <w:u w:val="single"/>
        </w:rPr>
        <w:t>are</w:t>
      </w:r>
      <w:r>
        <w:rPr>
          <w:rFonts w:eastAsia="MS Mincho"/>
        </w:rPr>
        <w:t xml:space="preserve"> not the </w:t>
      </w:r>
      <w:r>
        <w:rPr>
          <w:rFonts w:eastAsia="MS Mincho"/>
          <w:strike/>
        </w:rPr>
        <w:t>sale</w:t>
      </w:r>
      <w:r>
        <w:rPr>
          <w:rFonts w:eastAsia="MS Mincho"/>
        </w:rPr>
        <w:t xml:space="preserve"> </w:t>
      </w:r>
      <w:r>
        <w:rPr>
          <w:rFonts w:eastAsia="MS Mincho"/>
          <w:u w:val="single"/>
        </w:rPr>
        <w:t>sales</w:t>
      </w:r>
      <w:r>
        <w:rPr>
          <w:rFonts w:eastAsia="MS Mincho"/>
        </w:rPr>
        <w:t xml:space="preserve"> of goods or services prohibited by this subsection;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be licensed pursuant to Section 12</w:t>
      </w:r>
      <w:r>
        <w:rPr>
          <w:rFonts w:eastAsia="MS Mincho"/>
        </w:rPr>
        <w:noBreakHyphen/>
        <w:t>21</w:t>
      </w:r>
      <w:r>
        <w:rPr>
          <w:rFonts w:eastAsia="MS Mincho"/>
        </w:rPr>
        <w:noBreakHyphen/>
        <w:t xml:space="preserve">2720(a)(3) to operate a video poker machine; </w:t>
      </w:r>
      <w:r>
        <w:rPr>
          <w:rFonts w:eastAsia="MS Mincho"/>
          <w:strike/>
        </w:rPr>
        <w:t>or</w:t>
      </w:r>
      <w:r>
        <w:rPr>
          <w:rFonts w:eastAsia="MS Mincho"/>
        </w:rPr>
        <w:t xml:space="preserve"> </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(11)</w:t>
      </w:r>
      <w:r>
        <w:rPr>
          <w:rFonts w:eastAsia="MS Mincho"/>
        </w:rPr>
        <w:tab/>
        <w:t>permit others to engage in an activity prohibited by this section at a location licensed pursuant to this chapter</w:t>
      </w:r>
      <w:r>
        <w:rPr>
          <w:rFonts w:eastAsia="MS Mincho"/>
          <w:strike/>
        </w:rPr>
        <w:t>.</w:t>
      </w:r>
      <w:r>
        <w:rPr>
          <w:rFonts w:eastAsia="MS Mincho"/>
        </w:rPr>
        <w:t xml:space="preserve"> </w:t>
      </w:r>
      <w:r>
        <w:rPr>
          <w:rFonts w:eastAsia="MS Mincho"/>
          <w:u w:val="single"/>
        </w:rPr>
        <w:t>; or</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(12)</w:t>
      </w:r>
      <w:r>
        <w:rPr>
          <w:rFonts w:eastAsia="MS Mincho"/>
        </w:rPr>
        <w:tab/>
      </w:r>
      <w:r>
        <w:rPr>
          <w:rFonts w:eastAsia="MS Mincho"/>
          <w:u w:val="single"/>
        </w:rPr>
        <w:t>broker or arrange a deferred presentment transaction on behalf of a third</w:t>
      </w:r>
      <w:r>
        <w:rPr>
          <w:rFonts w:eastAsia="MS Mincho"/>
          <w:u w:val="single"/>
        </w:rPr>
        <w:noBreakHyphen/>
        <w:t>party lender, unless the transaction complies with the provisions of this chapter and is not preempted by federal law.</w:t>
      </w:r>
      <w:r>
        <w:rPr>
          <w:rFonts w:eastAsia="MS Mincho"/>
        </w:rPr>
        <w:t>”</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9.</w:t>
      </w:r>
      <w:r>
        <w:tab/>
      </w:r>
      <w:r>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2D35" w:rsidRDefault="00FF2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10.</w:t>
      </w:r>
      <w:r>
        <w:rPr>
          <w:rFonts w:eastAsia="MS Mincho"/>
        </w:rPr>
        <w:tab/>
        <w:t>This act takes effect January 1, 2010.</w:t>
      </w:r>
    </w:p>
    <w:p w:rsidR="00FF2D35" w:rsidRDefault="00C4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D35" w:rsidRDefault="00FF2D35">
      <w:pPr>
        <w:suppressAutoHyphens/>
      </w:pPr>
    </w:p>
    <w:sectPr w:rsidR="00FF2D35" w:rsidSect="00FF2D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D35" w:rsidRDefault="00C470CC">
      <w:r>
        <w:separator/>
      </w:r>
    </w:p>
  </w:endnote>
  <w:endnote w:type="continuationSeparator" w:id="0">
    <w:p w:rsidR="00FF2D35" w:rsidRDefault="00C4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91F1A3-EDFA-4F7A-B5CA-17953AD1A501}"/>
    <w:embedBold r:id="rId2" w:fontKey="{2AE69E1F-4D0F-482B-8513-02C2BB60BA21}"/>
  </w:font>
  <w:font w:name="Calibri">
    <w:panose1 w:val="020F0502020204030204"/>
    <w:charset w:val="00"/>
    <w:family w:val="swiss"/>
    <w:pitch w:val="variable"/>
    <w:sig w:usb0="E10002FF" w:usb1="4000ACFF" w:usb2="00000009" w:usb3="00000000" w:csb0="0000019F" w:csb1="00000000"/>
    <w:embedRegular r:id="rId3" w:fontKey="{E580A2CD-3DAF-43BD-B02C-F9277DBFB027}"/>
  </w:font>
  <w:font w:name="Tahoma">
    <w:panose1 w:val="020B0604030504040204"/>
    <w:charset w:val="00"/>
    <w:family w:val="swiss"/>
    <w:pitch w:val="variable"/>
    <w:sig w:usb0="21002A87" w:usb1="80000000" w:usb2="00000008" w:usb3="00000000" w:csb0="000101FF" w:csb1="00000000"/>
    <w:embedRegular r:id="rId4" w:fontKey="{946B7071-85A6-4DCD-9E68-FECC1DEA732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25A2CA1F-91E0-443B-83D7-9B04C5A26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D35" w:rsidRDefault="00C470CC">
    <w:pPr>
      <w:pStyle w:val="Footer"/>
      <w:tabs>
        <w:tab w:val="clear" w:pos="4680"/>
        <w:tab w:val="clear" w:pos="9360"/>
        <w:tab w:val="center" w:pos="2995"/>
      </w:tabs>
      <w:spacing w:before="120"/>
    </w:pPr>
    <w:r>
      <w:t>[3159]</w:t>
    </w:r>
    <w:r>
      <w:tab/>
    </w:r>
    <w:r w:rsidR="00F8391C">
      <w:fldChar w:fldCharType="begin"/>
    </w:r>
    <w:r w:rsidR="00F8391C">
      <w:instrText xml:space="preserve"> PAGE  \* MERGEFORMAT </w:instrText>
    </w:r>
    <w:r w:rsidR="00F8391C">
      <w:fldChar w:fldCharType="separate"/>
    </w:r>
    <w:r w:rsidR="00F8391C">
      <w:rPr>
        <w:noProof/>
      </w:rPr>
      <w:t>1</w:t>
    </w:r>
    <w:r w:rsidR="00F839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D35" w:rsidRDefault="00C470CC">
      <w:r>
        <w:separator/>
      </w:r>
    </w:p>
  </w:footnote>
  <w:footnote w:type="continuationSeparator" w:id="0">
    <w:p w:rsidR="00FF2D35" w:rsidRDefault="00C470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1MM09"/>
    <w:docVar w:name="CoverBillType" w:val="b"/>
    <w:docVar w:name="docpath" w:val="L:\Council\bills\AGM\19311MM09.DOCX"/>
    <w:docVar w:name="dvBillNumber" w:val="3159"/>
    <w:docVar w:name="dvBillNumberPrefix" w:val="H. "/>
    <w:docVar w:name="dvOriginalBody" w:val="House"/>
    <w:docVar w:name="dvSteno" w:val="AGM"/>
    <w:docVar w:name="NameofBody" w:val="h"/>
    <w:docVar w:name="vgroup2" w:val="Council"/>
  </w:docVars>
  <w:rsids>
    <w:rsidRoot w:val="00FF2D35"/>
    <w:rsid w:val="0022647F"/>
    <w:rsid w:val="007B58AC"/>
    <w:rsid w:val="00C470CC"/>
    <w:rsid w:val="00E31585"/>
    <w:rsid w:val="00F47133"/>
    <w:rsid w:val="00F8391C"/>
    <w:rsid w:val="00FF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585769-7F2B-4515-8A1F-5D7521C8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D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2D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D35"/>
    <w:rPr>
      <w:rFonts w:eastAsia="Times New Roman" w:cs="Times New Roman"/>
      <w:b/>
      <w:sz w:val="30"/>
      <w:szCs w:val="20"/>
    </w:rPr>
  </w:style>
  <w:style w:type="paragraph" w:styleId="Header">
    <w:name w:val="header"/>
    <w:basedOn w:val="Normal"/>
    <w:link w:val="HeaderChar"/>
    <w:uiPriority w:val="99"/>
    <w:semiHidden/>
    <w:unhideWhenUsed/>
    <w:rsid w:val="00FF2D35"/>
    <w:pPr>
      <w:tabs>
        <w:tab w:val="center" w:pos="4320"/>
        <w:tab w:val="right" w:pos="8640"/>
      </w:tabs>
    </w:pPr>
  </w:style>
  <w:style w:type="character" w:customStyle="1" w:styleId="HeaderChar">
    <w:name w:val="Header Char"/>
    <w:basedOn w:val="DefaultParagraphFont"/>
    <w:link w:val="Header"/>
    <w:uiPriority w:val="99"/>
    <w:semiHidden/>
    <w:rsid w:val="00FF2D35"/>
    <w:rPr>
      <w:rFonts w:eastAsia="Times New Roman" w:cs="Times New Roman"/>
      <w:szCs w:val="20"/>
    </w:rPr>
  </w:style>
  <w:style w:type="paragraph" w:styleId="Footer">
    <w:name w:val="footer"/>
    <w:basedOn w:val="Normal"/>
    <w:link w:val="FooterChar"/>
    <w:uiPriority w:val="99"/>
    <w:unhideWhenUsed/>
    <w:rsid w:val="00FF2D35"/>
    <w:pPr>
      <w:tabs>
        <w:tab w:val="center" w:pos="4680"/>
        <w:tab w:val="right" w:pos="9360"/>
      </w:tabs>
    </w:pPr>
  </w:style>
  <w:style w:type="character" w:customStyle="1" w:styleId="FooterChar">
    <w:name w:val="Footer Char"/>
    <w:basedOn w:val="DefaultParagraphFont"/>
    <w:link w:val="Footer"/>
    <w:uiPriority w:val="99"/>
    <w:rsid w:val="00FF2D35"/>
    <w:rPr>
      <w:rFonts w:eastAsia="Times New Roman" w:cs="Times New Roman"/>
      <w:szCs w:val="20"/>
    </w:rPr>
  </w:style>
  <w:style w:type="character" w:styleId="PageNumber">
    <w:name w:val="page number"/>
    <w:basedOn w:val="DefaultParagraphFont"/>
    <w:uiPriority w:val="99"/>
    <w:semiHidden/>
    <w:unhideWhenUsed/>
    <w:rsid w:val="00FF2D35"/>
  </w:style>
  <w:style w:type="character" w:styleId="LineNumber">
    <w:name w:val="line number"/>
    <w:basedOn w:val="DefaultParagraphFont"/>
    <w:uiPriority w:val="99"/>
    <w:semiHidden/>
    <w:unhideWhenUsed/>
    <w:rsid w:val="00FF2D35"/>
  </w:style>
  <w:style w:type="paragraph" w:customStyle="1" w:styleId="BillDots">
    <w:name w:val="Bill Dots"/>
    <w:basedOn w:val="Normal"/>
    <w:qFormat/>
    <w:rsid w:val="00FF2D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2D35"/>
    <w:pPr>
      <w:tabs>
        <w:tab w:val="right" w:pos="5904"/>
      </w:tabs>
    </w:pPr>
  </w:style>
  <w:style w:type="paragraph" w:styleId="BalloonText">
    <w:name w:val="Balloon Text"/>
    <w:basedOn w:val="Normal"/>
    <w:link w:val="BalloonTextChar"/>
    <w:uiPriority w:val="99"/>
    <w:semiHidden/>
    <w:unhideWhenUsed/>
    <w:rsid w:val="00FF2D35"/>
    <w:rPr>
      <w:rFonts w:ascii="Tahoma" w:hAnsi="Tahoma" w:cs="Tahoma"/>
      <w:sz w:val="16"/>
      <w:szCs w:val="16"/>
    </w:rPr>
  </w:style>
  <w:style w:type="character" w:customStyle="1" w:styleId="BalloonTextChar">
    <w:name w:val="Balloon Text Char"/>
    <w:basedOn w:val="DefaultParagraphFont"/>
    <w:link w:val="BalloonText"/>
    <w:uiPriority w:val="99"/>
    <w:semiHidden/>
    <w:rsid w:val="00FF2D35"/>
    <w:rPr>
      <w:rFonts w:ascii="Tahoma" w:eastAsia="Times New Roman" w:hAnsi="Tahoma" w:cs="Tahoma"/>
      <w:sz w:val="16"/>
      <w:szCs w:val="16"/>
    </w:rPr>
  </w:style>
  <w:style w:type="character" w:styleId="Hyperlink">
    <w:name w:val="Hyperlink"/>
    <w:basedOn w:val="DefaultParagraphFont"/>
    <w:uiPriority w:val="99"/>
    <w:unhideWhenUsed/>
    <w:rsid w:val="00FF2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9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D476-7F96-432D-83B3-4E0BADF1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3962</Words>
  <Characters>20630</Characters>
  <Application>Microsoft Office Word</Application>
  <DocSecurity>0</DocSecurity>
  <Lines>491</Lines>
  <Paragraphs>93</Paragraphs>
  <ScaleCrop>false</ScaleCrop>
  <Company> </Company>
  <LinksUpToDate>false</LinksUpToDate>
  <CharactersWithSpaces>24646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3159: Deferred presentment services - South Carolina Legislature Online</dc:title>
  <dc:subject/>
  <dc:creator>ANGIE MORGAN</dc:creator>
  <cp:keywords/>
  <dc:description/>
  <cp:lastModifiedBy>N Cumfer</cp:lastModifiedBy>
  <cp:revision>13</cp:revision>
  <cp:lastPrinted>2008-12-16T13:29:00Z</cp:lastPrinted>
  <dcterms:created xsi:type="dcterms:W3CDTF">2008-12-16T23:11:00Z</dcterms:created>
  <dcterms:modified xsi:type="dcterms:W3CDTF">2014-11-24T15:21:00Z</dcterms:modified>
</cp:coreProperties>
</file>