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247" w:rsidRDefault="001A1A08">
      <w:pPr>
        <w:widowControl w:val="0"/>
        <w:jc w:val="center"/>
      </w:pPr>
      <w:bookmarkStart w:id="0" w:name="_GoBack"/>
      <w:bookmarkEnd w:id="0"/>
      <w:r>
        <w:rPr>
          <w:b/>
        </w:rPr>
        <w:t>South Carolina General Assembly</w:t>
      </w:r>
    </w:p>
    <w:p w:rsidR="000A3247" w:rsidRDefault="001A1A08">
      <w:pPr>
        <w:widowControl w:val="0"/>
        <w:jc w:val="center"/>
      </w:pPr>
      <w:r>
        <w:t>118th Session, 2009-2010</w:t>
      </w:r>
    </w:p>
    <w:p w:rsidR="000A3247" w:rsidRDefault="000A3247">
      <w:pPr>
        <w:widowControl w:val="0"/>
        <w:jc w:val="left"/>
      </w:pPr>
    </w:p>
    <w:p w:rsidR="000A3247" w:rsidRDefault="001A1A08">
      <w:pPr>
        <w:widowControl w:val="0"/>
        <w:jc w:val="left"/>
        <w:rPr>
          <w:b/>
        </w:rPr>
      </w:pPr>
      <w:r>
        <w:rPr>
          <w:b/>
        </w:rPr>
        <w:t>H. 3166</w:t>
      </w:r>
    </w:p>
    <w:p w:rsidR="000A3247" w:rsidRDefault="000A3247">
      <w:pPr>
        <w:widowControl w:val="0"/>
        <w:jc w:val="left"/>
        <w:rPr>
          <w:b/>
        </w:rPr>
      </w:pPr>
    </w:p>
    <w:p w:rsidR="000A3247" w:rsidRDefault="001A1A08">
      <w:pPr>
        <w:widowControl w:val="0"/>
        <w:jc w:val="left"/>
      </w:pPr>
      <w:r>
        <w:rPr>
          <w:b/>
        </w:rPr>
        <w:t>STATUS INFORMATION</w:t>
      </w:r>
    </w:p>
    <w:p w:rsidR="000A3247" w:rsidRDefault="000A3247">
      <w:pPr>
        <w:widowControl w:val="0"/>
        <w:jc w:val="left"/>
      </w:pPr>
    </w:p>
    <w:p w:rsidR="000A3247" w:rsidRDefault="001A1A08">
      <w:pPr>
        <w:widowControl w:val="0"/>
        <w:jc w:val="left"/>
      </w:pPr>
      <w:r>
        <w:t>General Bill</w:t>
      </w:r>
    </w:p>
    <w:p w:rsidR="000A3247" w:rsidRDefault="001A1A08">
      <w:pPr>
        <w:widowControl w:val="0"/>
        <w:jc w:val="left"/>
      </w:pPr>
      <w:r>
        <w:t>Sponsors: Reps. G.M. Smith, Delleney, G.R. Smith, Clemmons, Parker, Bingham, Gullick, T.R. Young and Toole</w:t>
      </w:r>
    </w:p>
    <w:p w:rsidR="000A3247" w:rsidRDefault="001A1A08">
      <w:pPr>
        <w:widowControl w:val="0"/>
        <w:jc w:val="left"/>
      </w:pPr>
      <w:r>
        <w:t>Document Path: l:\council\bills\ms\7102ahb09.docx</w:t>
      </w:r>
    </w:p>
    <w:p w:rsidR="000A3247" w:rsidRDefault="001A1A08">
      <w:pPr>
        <w:widowControl w:val="0"/>
        <w:jc w:val="left"/>
      </w:pPr>
      <w:r>
        <w:t>Companion/Similar bill(s): 206, 3853</w:t>
      </w:r>
    </w:p>
    <w:p w:rsidR="000A3247" w:rsidRDefault="000A3247">
      <w:pPr>
        <w:widowControl w:val="0"/>
        <w:jc w:val="left"/>
      </w:pPr>
    </w:p>
    <w:p w:rsidR="000A3247" w:rsidRDefault="001A1A08">
      <w:pPr>
        <w:widowControl w:val="0"/>
        <w:jc w:val="left"/>
      </w:pPr>
      <w:r>
        <w:t>Introduced in the House on January 13, 2009</w:t>
      </w:r>
    </w:p>
    <w:p w:rsidR="000A3247" w:rsidRDefault="001A1A08">
      <w:pPr>
        <w:widowControl w:val="0"/>
        <w:jc w:val="left"/>
      </w:pPr>
      <w:r>
        <w:t xml:space="preserve">Currently residing in the House Committee on </w:t>
      </w:r>
      <w:r>
        <w:rPr>
          <w:b/>
        </w:rPr>
        <w:t>Judiciary</w:t>
      </w:r>
    </w:p>
    <w:p w:rsidR="000A3247" w:rsidRDefault="000A3247">
      <w:pPr>
        <w:widowControl w:val="0"/>
        <w:jc w:val="left"/>
      </w:pPr>
    </w:p>
    <w:p w:rsidR="000A3247" w:rsidRDefault="001A1A08">
      <w:pPr>
        <w:widowControl w:val="0"/>
        <w:jc w:val="left"/>
      </w:pPr>
      <w:r>
        <w:t>Summary: Middle Court Processes Act</w:t>
      </w:r>
    </w:p>
    <w:p w:rsidR="000A3247" w:rsidRDefault="000A3247">
      <w:pPr>
        <w:widowControl w:val="0"/>
        <w:jc w:val="left"/>
      </w:pPr>
    </w:p>
    <w:p w:rsidR="000A3247" w:rsidRDefault="000A3247">
      <w:pPr>
        <w:widowControl w:val="0"/>
        <w:jc w:val="left"/>
      </w:pPr>
    </w:p>
    <w:p w:rsidR="000A3247" w:rsidRDefault="001A1A08">
      <w:pPr>
        <w:widowControl w:val="0"/>
        <w:tabs>
          <w:tab w:val="center" w:pos="590"/>
          <w:tab w:val="center" w:pos="1440"/>
          <w:tab w:val="left" w:pos="1872"/>
          <w:tab w:val="left" w:pos="9187"/>
        </w:tabs>
        <w:jc w:val="left"/>
      </w:pPr>
      <w:r>
        <w:rPr>
          <w:b/>
        </w:rPr>
        <w:t>HISTORY OF LEGISLATIVE ACTIONS</w:t>
      </w:r>
    </w:p>
    <w:p w:rsidR="000A3247" w:rsidRDefault="000A3247">
      <w:pPr>
        <w:widowControl w:val="0"/>
        <w:tabs>
          <w:tab w:val="center" w:pos="590"/>
          <w:tab w:val="center" w:pos="1440"/>
          <w:tab w:val="left" w:pos="1872"/>
          <w:tab w:val="left" w:pos="9187"/>
        </w:tabs>
        <w:jc w:val="left"/>
      </w:pPr>
    </w:p>
    <w:p w:rsidR="000A3247" w:rsidRDefault="001A1A0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A3247" w:rsidRDefault="001A1A08">
      <w:pPr>
        <w:widowControl w:val="0"/>
        <w:tabs>
          <w:tab w:val="right" w:pos="1008"/>
          <w:tab w:val="left" w:pos="1152"/>
          <w:tab w:val="left" w:pos="1872"/>
          <w:tab w:val="left" w:pos="9187"/>
        </w:tabs>
        <w:ind w:left="2088" w:hanging="2088"/>
        <w:jc w:val="left"/>
      </w:pPr>
      <w:r>
        <w:tab/>
        <w:t>12/16/2008</w:t>
      </w:r>
      <w:r>
        <w:tab/>
        <w:t>House</w:t>
      </w:r>
      <w:r>
        <w:tab/>
        <w:t>Prefiled</w:t>
      </w:r>
    </w:p>
    <w:p w:rsidR="000A3247" w:rsidRDefault="001A1A08">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0A3247" w:rsidRDefault="001A1A0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E7A9D">
          <w:rPr>
            <w:rStyle w:val="Hyperlink"/>
          </w:rPr>
          <w:t>HJ</w:t>
        </w:r>
      </w:hyperlink>
      <w:r>
        <w:noBreakHyphen/>
        <w:t>74</w:t>
      </w:r>
    </w:p>
    <w:p w:rsidR="000A3247" w:rsidRDefault="001A1A0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DE7A9D">
          <w:rPr>
            <w:rStyle w:val="Hyperlink"/>
          </w:rPr>
          <w:t>HJ</w:t>
        </w:r>
      </w:hyperlink>
      <w:r>
        <w:noBreakHyphen/>
        <w:t>75</w:t>
      </w:r>
    </w:p>
    <w:p w:rsidR="000A3247" w:rsidRDefault="001A1A08">
      <w:pPr>
        <w:widowControl w:val="0"/>
        <w:tabs>
          <w:tab w:val="right" w:pos="1008"/>
          <w:tab w:val="left" w:pos="1152"/>
          <w:tab w:val="left" w:pos="1872"/>
          <w:tab w:val="left" w:pos="9187"/>
        </w:tabs>
        <w:ind w:left="2088" w:hanging="2088"/>
        <w:jc w:val="left"/>
      </w:pPr>
      <w:r>
        <w:tab/>
        <w:t>2/3/2009</w:t>
      </w:r>
      <w:r>
        <w:tab/>
        <w:t>House</w:t>
      </w:r>
      <w:r>
        <w:tab/>
        <w:t>Member(s) request name added as sponsor: Gullick</w:t>
      </w:r>
    </w:p>
    <w:p w:rsidR="000A3247" w:rsidRDefault="001A1A08">
      <w:pPr>
        <w:widowControl w:val="0"/>
        <w:tabs>
          <w:tab w:val="right" w:pos="1008"/>
          <w:tab w:val="left" w:pos="1152"/>
          <w:tab w:val="left" w:pos="1872"/>
          <w:tab w:val="left" w:pos="9187"/>
        </w:tabs>
        <w:ind w:left="2088" w:hanging="2088"/>
        <w:jc w:val="left"/>
      </w:pPr>
      <w:r>
        <w:tab/>
        <w:t>2/4/2009</w:t>
      </w:r>
      <w:r>
        <w:tab/>
        <w:t>House</w:t>
      </w:r>
      <w:r>
        <w:tab/>
        <w:t>Member(s) request name added as sponsor: T.R.Young</w:t>
      </w:r>
    </w:p>
    <w:p w:rsidR="000A3247" w:rsidRDefault="001A1A08">
      <w:pPr>
        <w:widowControl w:val="0"/>
        <w:tabs>
          <w:tab w:val="right" w:pos="1008"/>
          <w:tab w:val="left" w:pos="1152"/>
          <w:tab w:val="left" w:pos="1872"/>
          <w:tab w:val="left" w:pos="9187"/>
        </w:tabs>
        <w:ind w:left="2088" w:hanging="2088"/>
        <w:jc w:val="left"/>
      </w:pPr>
      <w:r>
        <w:tab/>
        <w:t>2/5/2009</w:t>
      </w:r>
      <w:r>
        <w:tab/>
        <w:t>House</w:t>
      </w:r>
      <w:r>
        <w:tab/>
        <w:t>Member(s) request name added as sponsor: Toole</w:t>
      </w:r>
    </w:p>
    <w:p w:rsidR="000A3247" w:rsidRDefault="000A3247">
      <w:pPr>
        <w:widowControl w:val="0"/>
        <w:tabs>
          <w:tab w:val="right" w:pos="1008"/>
          <w:tab w:val="left" w:pos="1152"/>
          <w:tab w:val="left" w:pos="1872"/>
          <w:tab w:val="left" w:pos="9187"/>
        </w:tabs>
        <w:ind w:left="2088" w:hanging="2088"/>
        <w:jc w:val="left"/>
      </w:pPr>
    </w:p>
    <w:p w:rsidR="000A3247" w:rsidRDefault="000A3247">
      <w:pPr>
        <w:widowControl w:val="0"/>
        <w:tabs>
          <w:tab w:val="right" w:pos="1008"/>
          <w:tab w:val="left" w:pos="1152"/>
          <w:tab w:val="left" w:pos="1872"/>
          <w:tab w:val="left" w:pos="9187"/>
        </w:tabs>
        <w:ind w:left="2088" w:hanging="2088"/>
        <w:jc w:val="left"/>
      </w:pPr>
    </w:p>
    <w:p w:rsidR="000A3247" w:rsidRDefault="001A1A08">
      <w:pPr>
        <w:widowControl w:val="0"/>
        <w:jc w:val="left"/>
      </w:pPr>
      <w:r>
        <w:rPr>
          <w:b/>
        </w:rPr>
        <w:t>VERSIONS OF THIS BILL</w:t>
      </w:r>
    </w:p>
    <w:p w:rsidR="000A3247" w:rsidRDefault="000A3247">
      <w:pPr>
        <w:widowControl w:val="0"/>
        <w:jc w:val="left"/>
      </w:pPr>
    </w:p>
    <w:p w:rsidR="000A3247" w:rsidRDefault="00F05578">
      <w:pPr>
        <w:widowControl w:val="0"/>
        <w:jc w:val="left"/>
      </w:pPr>
      <w:hyperlink r:id="rId9" w:history="1">
        <w:r w:rsidR="001A1A08">
          <w:rPr>
            <w:rStyle w:val="Hyperlink"/>
          </w:rPr>
          <w:t>12/16/2008</w:t>
        </w:r>
      </w:hyperlink>
    </w:p>
    <w:p w:rsidR="000A3247" w:rsidRDefault="000A3247"/>
    <w:p w:rsidR="000A3247" w:rsidRDefault="000A3247">
      <w:pPr>
        <w:sectPr w:rsidR="000A3247">
          <w:pgSz w:w="12240" w:h="15840" w:code="1"/>
          <w:pgMar w:top="1080" w:right="1440" w:bottom="1080" w:left="1440" w:header="720" w:footer="720" w:gutter="0"/>
          <w:cols w:space="720"/>
          <w:noEndnote/>
          <w:docGrid w:linePitch="360"/>
        </w:sectPr>
      </w:pPr>
    </w:p>
    <w:p w:rsidR="000A3247" w:rsidRDefault="000A3247">
      <w:pPr>
        <w:pStyle w:val="BillDots"/>
      </w:pPr>
    </w:p>
    <w:p w:rsidR="000A3247" w:rsidRDefault="000A3247">
      <w:pPr>
        <w:pStyle w:val="Numbersforbills"/>
      </w:pP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noBreakHyphen/>
        <w:t>13</w:t>
      </w:r>
      <w:r>
        <w:noBreakHyphen/>
        <w:t>100, CODE OF LAWS OF SOUTH CAROLINA, 1976, RELATING TO THE DEFINITION OF THE TERM “NO PAROLE OFFENSE”, SO AS TO REVISE THE DEFINITION TO INCLUDE CLASS D, E, AND F FELONIES, CLASS A, B, AND C MISDEMEANORS, AND OFFENSES CLASSIFIED AS EXEMPT WHICH ARE PUNISHABLE BY A MAXIMUM TERM OF IMPRISONMENT OF ONE YEAR OR MORE, TO PROVIDE THAT A PERSON WHO IS FOUND GUILTY OF, OR PLEADS GUILTY OR NOLO CONTENDRE TO, A “NO PAROLE OFFENSE” IS NOT ELIGIBLE FOR EARLY RELEASE FROM INCARCERATION UNDER CERTAIN CIRCUMSTANCES, AND TO PROVIDE AN EXCEPTION RELATED TO THE  YOUTHFUL OFFENDER ACT; AND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ATTORNEY GENERAL’S OFFICE, AND THE DEPARTMENT OF PROBATION, PAROLE AND PARDON SERVICES.</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24</w:t>
      </w:r>
      <w:r>
        <w:noBreakHyphen/>
        <w:t>13</w:t>
      </w:r>
      <w:r>
        <w:noBreakHyphen/>
        <w:t>100 of the 1976 Code is amended to read:</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100.</w:t>
      </w:r>
      <w:r>
        <w:tab/>
      </w:r>
      <w:r>
        <w:tab/>
      </w:r>
      <w:r>
        <w:rPr>
          <w:u w:val="single"/>
        </w:rPr>
        <w:t>(A)</w:t>
      </w:r>
      <w:r>
        <w:tab/>
        <w:t xml:space="preserve">For purposes of definition </w:t>
      </w:r>
      <w:r>
        <w:rPr>
          <w:strike/>
        </w:rPr>
        <w:t>under</w:t>
      </w:r>
      <w:r>
        <w:rPr>
          <w:u w:val="single"/>
        </w:rPr>
        <w:t>pursuant to</w:t>
      </w:r>
      <w:r>
        <w:t xml:space="preserve"> South Carolina law, a ‘no parole offense’ means a class A, B,</w:t>
      </w:r>
      <w:r>
        <w:rPr>
          <w:strike/>
        </w:rPr>
        <w:t>or</w:t>
      </w:r>
      <w:r>
        <w:t xml:space="preserve"> C</w:t>
      </w:r>
      <w:r>
        <w:rPr>
          <w:u w:val="single"/>
        </w:rPr>
        <w:t>, D, E, or F</w:t>
      </w:r>
      <w:r>
        <w:t xml:space="preserve"> felony</w:t>
      </w:r>
      <w:r>
        <w:rPr>
          <w:u w:val="single"/>
        </w:rPr>
        <w:t>, a class A, B, or C misdemeanor,</w:t>
      </w:r>
      <w:r>
        <w:t xml:space="preserve"> or an offense exempt from classification as enumerated in Section 16</w:t>
      </w:r>
      <w:r>
        <w:noBreakHyphen/>
        <w:t>1</w:t>
      </w:r>
      <w:r>
        <w:noBreakHyphen/>
        <w:t xml:space="preserve">10(d), which is punishable by a maximum term of imprisonment for </w:t>
      </w:r>
      <w:r>
        <w:rPr>
          <w:strike/>
        </w:rPr>
        <w:t>twenty years</w:t>
      </w:r>
      <w:r>
        <w:rPr>
          <w:u w:val="single"/>
        </w:rPr>
        <w:t>one year</w:t>
      </w:r>
      <w:r>
        <w:t xml:space="preserve"> or more.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is found guilty of, or pleads guilty or nolo contendre to, a ‘no parole offense’ as defined in section (A) is not eligible for early release from incarceration except as provided in Section 24</w:t>
      </w:r>
      <w:r>
        <w:rPr>
          <w:u w:val="single"/>
        </w:rPr>
        <w:noBreakHyphen/>
        <w:t>13</w:t>
      </w:r>
      <w:r>
        <w:rPr>
          <w:u w:val="single"/>
        </w:rPr>
        <w:noBreakHyphen/>
        <w:t>210(B).  Nothing in this section may be construed to amend, repeal, or affect the Youthful Offender Act contained in Chapter 19, Title 24.</w:t>
      </w:r>
      <w:r>
        <w:t>”</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SECTION</w:t>
      </w:r>
      <w:r>
        <w:rPr>
          <w:rFonts w:cs="Arial"/>
        </w:rPr>
        <w:tab/>
        <w:t>2. Title 14 of the 1976 Code is amended by adding:</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impose by written order a sanction dismissing a participant from the middle court process or incarcerating him for no more than seven days for failing to meet a condition, requirement, or goal ordered by the middle court;</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benefits likely resulting to the offender upon his being accepted into the process, including drug rehabilitation, education, training, family support, discipline, employment, physical and mental health, and the opportunity for a productive life;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risk and danger posed to the victim or victim’s family by the offender remaining at large; and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The General Assembly annually shall appropriate funds to the Judicial Department, Attorney General’s Office, and the Department of Probation, Parole and Pardon Services for the employment and support of a middle court administrator for each circuit and other costs associated with the process as provided by this chapter.”</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3247" w:rsidRDefault="000A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 of this act takes effect upon certification by the South Carolina Supreme Court that the provisions of Section 2 of the act have been enacted in each judicial circuit of the State.  Section 2 of this act takes effect upon approval by the Governor.</w:t>
      </w:r>
    </w:p>
    <w:p w:rsidR="000A3247" w:rsidRDefault="001A1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3247" w:rsidRDefault="000A3247">
      <w:pPr>
        <w:suppressAutoHyphens/>
      </w:pPr>
    </w:p>
    <w:sectPr w:rsidR="000A3247" w:rsidSect="000A32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247" w:rsidRDefault="001A1A08">
      <w:r>
        <w:separator/>
      </w:r>
    </w:p>
  </w:endnote>
  <w:endnote w:type="continuationSeparator" w:id="0">
    <w:p w:rsidR="000A3247" w:rsidRDefault="001A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576546-E731-45CA-B298-1D5C4BF6DA1A}"/>
    <w:embedBold r:id="rId2" w:fontKey="{168FABCD-2B53-4F00-AF4E-5EFB2108FCBE}"/>
  </w:font>
  <w:font w:name="Calibri">
    <w:panose1 w:val="020F0502020204030204"/>
    <w:charset w:val="00"/>
    <w:family w:val="swiss"/>
    <w:pitch w:val="variable"/>
    <w:sig w:usb0="E10002FF" w:usb1="4000ACFF" w:usb2="00000009" w:usb3="00000000" w:csb0="0000019F" w:csb1="00000000"/>
    <w:embedRegular r:id="rId3" w:fontKey="{9C4D44D6-71BC-411D-93A5-027C3E37E657}"/>
  </w:font>
  <w:font w:name="Arial">
    <w:panose1 w:val="020B0604020202020204"/>
    <w:charset w:val="00"/>
    <w:family w:val="swiss"/>
    <w:pitch w:val="variable"/>
    <w:sig w:usb0="20002A87" w:usb1="80000000" w:usb2="00000008" w:usb3="00000000" w:csb0="000001FF" w:csb1="00000000"/>
    <w:embedRegular r:id="rId4" w:fontKey="{2FFB9AEC-99E7-420C-8ECA-D3F9815BD5F9}"/>
  </w:font>
  <w:font w:name="Cambria">
    <w:panose1 w:val="02040503050406030204"/>
    <w:charset w:val="00"/>
    <w:family w:val="roman"/>
    <w:pitch w:val="variable"/>
    <w:sig w:usb0="E00002FF" w:usb1="400004FF" w:usb2="00000000" w:usb3="00000000" w:csb0="0000019F" w:csb1="00000000"/>
    <w:embedRegular r:id="rId5" w:fontKey="{F4C7DD6B-31F8-4FAE-8FBF-B825455DD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247" w:rsidRDefault="001A1A08">
    <w:pPr>
      <w:pStyle w:val="Footer"/>
      <w:tabs>
        <w:tab w:val="clear" w:pos="4680"/>
        <w:tab w:val="clear" w:pos="9360"/>
        <w:tab w:val="center" w:pos="2995"/>
      </w:tabs>
      <w:spacing w:before="120"/>
    </w:pPr>
    <w:r>
      <w:t>[3166]</w:t>
    </w:r>
    <w:r>
      <w:tab/>
    </w:r>
    <w:r w:rsidR="00F05578">
      <w:fldChar w:fldCharType="begin"/>
    </w:r>
    <w:r w:rsidR="00F05578">
      <w:instrText xml:space="preserve"> PAGE  \* MERGEFORMAT </w:instrText>
    </w:r>
    <w:r w:rsidR="00F05578">
      <w:fldChar w:fldCharType="separate"/>
    </w:r>
    <w:r w:rsidR="00F05578">
      <w:rPr>
        <w:noProof/>
      </w:rPr>
      <w:t>1</w:t>
    </w:r>
    <w:r w:rsidR="00F055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247" w:rsidRDefault="001A1A08">
      <w:r>
        <w:separator/>
      </w:r>
    </w:p>
  </w:footnote>
  <w:footnote w:type="continuationSeparator" w:id="0">
    <w:p w:rsidR="000A3247" w:rsidRDefault="001A1A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2AHB09"/>
    <w:docVar w:name="CoverBillType" w:val="b"/>
    <w:docVar w:name="docpath" w:val="L:\Council\bills\MS\7102AHB09.DOCX"/>
    <w:docVar w:name="dvBillNumber" w:val="3166"/>
    <w:docVar w:name="dvBillNumberPrefix" w:val="H. "/>
    <w:docVar w:name="dvOriginalBody" w:val="House"/>
    <w:docVar w:name="dvSteno" w:val="MS"/>
    <w:docVar w:name="NameofBody" w:val="h"/>
    <w:docVar w:name="vgroup2" w:val="Council"/>
  </w:docVars>
  <w:rsids>
    <w:rsidRoot w:val="000A3247"/>
    <w:rsid w:val="000A3247"/>
    <w:rsid w:val="001A1A08"/>
    <w:rsid w:val="00430951"/>
    <w:rsid w:val="00500C59"/>
    <w:rsid w:val="00CF402D"/>
    <w:rsid w:val="00DE7A9D"/>
    <w:rsid w:val="00F05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BEEF81-82EC-42A7-81E9-4271837E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24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A324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247"/>
    <w:rPr>
      <w:rFonts w:eastAsia="Times New Roman" w:cs="Times New Roman"/>
      <w:b/>
      <w:sz w:val="30"/>
      <w:szCs w:val="20"/>
    </w:rPr>
  </w:style>
  <w:style w:type="paragraph" w:styleId="Header">
    <w:name w:val="header"/>
    <w:basedOn w:val="Normal"/>
    <w:link w:val="HeaderChar"/>
    <w:uiPriority w:val="99"/>
    <w:semiHidden/>
    <w:unhideWhenUsed/>
    <w:rsid w:val="000A3247"/>
    <w:pPr>
      <w:tabs>
        <w:tab w:val="center" w:pos="4320"/>
        <w:tab w:val="right" w:pos="8640"/>
      </w:tabs>
    </w:pPr>
  </w:style>
  <w:style w:type="character" w:customStyle="1" w:styleId="HeaderChar">
    <w:name w:val="Header Char"/>
    <w:basedOn w:val="DefaultParagraphFont"/>
    <w:link w:val="Header"/>
    <w:uiPriority w:val="99"/>
    <w:semiHidden/>
    <w:rsid w:val="000A3247"/>
    <w:rPr>
      <w:rFonts w:eastAsia="Times New Roman" w:cs="Times New Roman"/>
      <w:szCs w:val="20"/>
    </w:rPr>
  </w:style>
  <w:style w:type="paragraph" w:styleId="Footer">
    <w:name w:val="footer"/>
    <w:basedOn w:val="Normal"/>
    <w:link w:val="FooterChar"/>
    <w:uiPriority w:val="99"/>
    <w:unhideWhenUsed/>
    <w:rsid w:val="000A3247"/>
    <w:pPr>
      <w:tabs>
        <w:tab w:val="center" w:pos="4680"/>
        <w:tab w:val="right" w:pos="9360"/>
      </w:tabs>
    </w:pPr>
  </w:style>
  <w:style w:type="character" w:customStyle="1" w:styleId="FooterChar">
    <w:name w:val="Footer Char"/>
    <w:basedOn w:val="DefaultParagraphFont"/>
    <w:link w:val="Footer"/>
    <w:uiPriority w:val="99"/>
    <w:rsid w:val="000A3247"/>
    <w:rPr>
      <w:rFonts w:eastAsia="Times New Roman" w:cs="Times New Roman"/>
      <w:szCs w:val="20"/>
    </w:rPr>
  </w:style>
  <w:style w:type="character" w:styleId="PageNumber">
    <w:name w:val="page number"/>
    <w:basedOn w:val="DefaultParagraphFont"/>
    <w:uiPriority w:val="99"/>
    <w:semiHidden/>
    <w:unhideWhenUsed/>
    <w:rsid w:val="000A3247"/>
  </w:style>
  <w:style w:type="character" w:styleId="LineNumber">
    <w:name w:val="line number"/>
    <w:basedOn w:val="DefaultParagraphFont"/>
    <w:uiPriority w:val="99"/>
    <w:semiHidden/>
    <w:unhideWhenUsed/>
    <w:rsid w:val="000A3247"/>
  </w:style>
  <w:style w:type="paragraph" w:customStyle="1" w:styleId="BillDots">
    <w:name w:val="Bill Dots"/>
    <w:basedOn w:val="Normal"/>
    <w:qFormat/>
    <w:rsid w:val="000A324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A3247"/>
    <w:pPr>
      <w:tabs>
        <w:tab w:val="right" w:pos="5904"/>
      </w:tabs>
    </w:pPr>
  </w:style>
  <w:style w:type="character" w:styleId="Hyperlink">
    <w:name w:val="Hyperlink"/>
    <w:basedOn w:val="DefaultParagraphFont"/>
    <w:uiPriority w:val="99"/>
    <w:unhideWhenUsed/>
    <w:rsid w:val="000A32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66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E7CCE-E322-496E-9167-C81285DED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3297</Words>
  <Characters>17537</Characters>
  <Application>Microsoft Office Word</Application>
  <DocSecurity>0</DocSecurity>
  <Lines>430</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3166: Middle Court Processes Act - South Carolina Legislature Online</dc:title>
  <dc:subject/>
  <dc:creator>Martha Sanders</dc:creator>
  <cp:keywords/>
  <dc:description/>
  <cp:lastModifiedBy>N Cumfer</cp:lastModifiedBy>
  <cp:revision>17</cp:revision>
  <cp:lastPrinted>2008-12-16T15:28:00Z</cp:lastPrinted>
  <dcterms:created xsi:type="dcterms:W3CDTF">2008-12-16T23:13:00Z</dcterms:created>
  <dcterms:modified xsi:type="dcterms:W3CDTF">2014-11-24T15:21:00Z</dcterms:modified>
</cp:coreProperties>
</file>