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CB3" w:rsidRDefault="00EC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0D4CB3" w:rsidRDefault="00EC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0D4CB3" w:rsidRDefault="000D4C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4CB3" w:rsidRDefault="00EC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 R33, H3378</w:t>
      </w:r>
    </w:p>
    <w:p w:rsidR="000D4CB3" w:rsidRDefault="000D4C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D4CB3" w:rsidRDefault="00EC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0D4CB3" w:rsidRDefault="000D4C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4CB3" w:rsidRDefault="00EC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0D4CB3" w:rsidRDefault="00EC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 Cooper</w:t>
      </w:r>
    </w:p>
    <w:p w:rsidR="000D4CB3" w:rsidRDefault="00EC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l:\council\bills\gjk\20065sd09.docx</w:t>
      </w:r>
    </w:p>
    <w:p w:rsidR="000D4CB3" w:rsidRDefault="000D4C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4CB3" w:rsidRDefault="00EC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29, 2009</w:t>
      </w:r>
    </w:p>
    <w:p w:rsidR="000D4CB3" w:rsidRDefault="00EC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17, 2009</w:t>
      </w:r>
    </w:p>
    <w:p w:rsidR="000D4CB3" w:rsidRDefault="00EC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 2009</w:t>
      </w:r>
    </w:p>
    <w:p w:rsidR="000D4CB3" w:rsidRDefault="00EC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22, 2009</w:t>
      </w:r>
    </w:p>
    <w:p w:rsidR="000D4CB3" w:rsidRDefault="00EC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6, 2009, Signed</w:t>
      </w:r>
    </w:p>
    <w:p w:rsidR="000D4CB3" w:rsidRDefault="000D4C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4CB3" w:rsidRDefault="00EC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State agency mandatory furlough terms</w:t>
      </w:r>
    </w:p>
    <w:p w:rsidR="000D4CB3" w:rsidRDefault="000D4C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4CB3" w:rsidRDefault="000D4C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4CB3" w:rsidRDefault="00EC596A">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0D4CB3" w:rsidRDefault="000D4CB3">
      <w:pPr>
        <w:widowControl w:val="0"/>
        <w:tabs>
          <w:tab w:val="center" w:pos="590"/>
          <w:tab w:val="center" w:pos="1440"/>
          <w:tab w:val="left" w:pos="1872"/>
          <w:tab w:val="left" w:pos="9187"/>
        </w:tabs>
        <w:rPr>
          <w:rFonts w:eastAsia="Times New Roman" w:cs="Times New Roman"/>
          <w:szCs w:val="20"/>
        </w:rPr>
      </w:pPr>
    </w:p>
    <w:p w:rsidR="000D4CB3" w:rsidRDefault="00EC596A">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t xml:space="preserve">Introduced and read first time </w:t>
      </w:r>
      <w:hyperlink r:id="rId6" w:history="1">
        <w:r w:rsidRPr="00565A8F">
          <w:rPr>
            <w:rStyle w:val="Hyperlink"/>
            <w:rFonts w:cs="Times New Roman"/>
          </w:rPr>
          <w:t>HJ</w:t>
        </w:r>
      </w:hyperlink>
      <w:r>
        <w:rPr>
          <w:rFonts w:cs="Times New Roman"/>
        </w:rPr>
        <w:noBreakHyphen/>
        <w:t>5</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t xml:space="preserve">Referred to Committee on </w:t>
      </w:r>
      <w:r>
        <w:rPr>
          <w:rFonts w:cs="Times New Roman"/>
          <w:b/>
        </w:rPr>
        <w:t>Ways and Means</w:t>
      </w:r>
      <w:r>
        <w:rPr>
          <w:rFonts w:cs="Times New Roman"/>
        </w:rPr>
        <w:t xml:space="preserve"> </w:t>
      </w:r>
      <w:hyperlink r:id="rId7" w:history="1">
        <w:r w:rsidRPr="00565A8F">
          <w:rPr>
            <w:rStyle w:val="Hyperlink"/>
            <w:rFonts w:cs="Times New Roman"/>
          </w:rPr>
          <w:t>HJ</w:t>
        </w:r>
      </w:hyperlink>
      <w:r>
        <w:rPr>
          <w:rFonts w:cs="Times New Roman"/>
        </w:rPr>
        <w:noBreakHyphen/>
        <w:t>5</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t xml:space="preserve">Committee report: Favorable </w:t>
      </w:r>
      <w:r>
        <w:rPr>
          <w:rFonts w:cs="Times New Roman"/>
          <w:b/>
        </w:rPr>
        <w:t>Ways and Means</w:t>
      </w:r>
      <w:r>
        <w:rPr>
          <w:rFonts w:cs="Times New Roman"/>
        </w:rPr>
        <w:t xml:space="preserve"> </w:t>
      </w:r>
      <w:hyperlink r:id="rId8" w:history="1">
        <w:r w:rsidRPr="00565A8F">
          <w:rPr>
            <w:rStyle w:val="Hyperlink"/>
            <w:rFonts w:cs="Times New Roman"/>
          </w:rPr>
          <w:t>HJ</w:t>
        </w:r>
      </w:hyperlink>
      <w:r>
        <w:rPr>
          <w:rFonts w:cs="Times New Roman"/>
        </w:rPr>
        <w:noBreakHyphen/>
        <w:t>3</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t xml:space="preserve">Read second time </w:t>
      </w:r>
      <w:hyperlink r:id="rId9" w:history="1">
        <w:r w:rsidRPr="00565A8F">
          <w:rPr>
            <w:rStyle w:val="Hyperlink"/>
            <w:rFonts w:cs="Times New Roman"/>
          </w:rPr>
          <w:t>HJ</w:t>
        </w:r>
      </w:hyperlink>
      <w:r>
        <w:rPr>
          <w:rFonts w:cs="Times New Roman"/>
        </w:rPr>
        <w:noBreakHyphen/>
        <w:t>29</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t xml:space="preserve">Unanimous consent for third reading on next legislative day </w:t>
      </w:r>
      <w:hyperlink r:id="rId10" w:history="1">
        <w:r w:rsidRPr="00565A8F">
          <w:rPr>
            <w:rStyle w:val="Hyperlink"/>
            <w:rFonts w:cs="Times New Roman"/>
          </w:rPr>
          <w:t>HJ</w:t>
        </w:r>
      </w:hyperlink>
      <w:r>
        <w:rPr>
          <w:rFonts w:cs="Times New Roman"/>
        </w:rPr>
        <w:noBreakHyphen/>
        <w:t>29</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r>
      <w:r>
        <w:rPr>
          <w:rFonts w:cs="Times New Roman"/>
        </w:rPr>
        <w:tab/>
        <w:t>Scrivener's error corrected</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2/13/2009</w:t>
      </w:r>
      <w:r>
        <w:rPr>
          <w:rFonts w:cs="Times New Roman"/>
        </w:rPr>
        <w:tab/>
        <w:t>House</w:t>
      </w:r>
      <w:r>
        <w:rPr>
          <w:rFonts w:cs="Times New Roman"/>
        </w:rPr>
        <w:tab/>
        <w:t xml:space="preserve">Read third time and sent to Senate </w:t>
      </w:r>
      <w:hyperlink r:id="rId11" w:history="1">
        <w:r w:rsidRPr="00565A8F">
          <w:rPr>
            <w:rStyle w:val="Hyperlink"/>
            <w:rFonts w:cs="Times New Roman"/>
          </w:rPr>
          <w:t>HJ</w:t>
        </w:r>
      </w:hyperlink>
      <w:r>
        <w:rPr>
          <w:rFonts w:cs="Times New Roman"/>
        </w:rPr>
        <w:noBreakHyphen/>
        <w:t>1</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Senate</w:t>
      </w:r>
      <w:r>
        <w:rPr>
          <w:rFonts w:cs="Times New Roman"/>
        </w:rPr>
        <w:tab/>
        <w:t xml:space="preserve">Introduced and read first time </w:t>
      </w:r>
      <w:hyperlink r:id="rId12" w:history="1">
        <w:r w:rsidRPr="00565A8F">
          <w:rPr>
            <w:rStyle w:val="Hyperlink"/>
            <w:rFonts w:cs="Times New Roman"/>
          </w:rPr>
          <w:t>SJ</w:t>
        </w:r>
      </w:hyperlink>
      <w:r>
        <w:rPr>
          <w:rFonts w:cs="Times New Roman"/>
        </w:rPr>
        <w:noBreakHyphen/>
        <w:t>6</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Senate</w:t>
      </w:r>
      <w:r>
        <w:rPr>
          <w:rFonts w:cs="Times New Roman"/>
        </w:rPr>
        <w:tab/>
        <w:t xml:space="preserve">Referred to Committee on </w:t>
      </w:r>
      <w:r>
        <w:rPr>
          <w:rFonts w:cs="Times New Roman"/>
          <w:b/>
        </w:rPr>
        <w:t>Finance</w:t>
      </w:r>
      <w:r>
        <w:rPr>
          <w:rFonts w:cs="Times New Roman"/>
        </w:rPr>
        <w:t xml:space="preserve"> </w:t>
      </w:r>
      <w:hyperlink r:id="rId13" w:history="1">
        <w:r w:rsidRPr="00565A8F">
          <w:rPr>
            <w:rStyle w:val="Hyperlink"/>
            <w:rFonts w:cs="Times New Roman"/>
          </w:rPr>
          <w:t>SJ</w:t>
        </w:r>
      </w:hyperlink>
      <w:r>
        <w:rPr>
          <w:rFonts w:cs="Times New Roman"/>
        </w:rPr>
        <w:noBreakHyphen/>
        <w:t>6</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3/19/2009</w:t>
      </w:r>
      <w:r>
        <w:rPr>
          <w:rFonts w:cs="Times New Roman"/>
        </w:rPr>
        <w:tab/>
        <w:t>Senate</w:t>
      </w:r>
      <w:r>
        <w:rPr>
          <w:rFonts w:cs="Times New Roman"/>
        </w:rPr>
        <w:tab/>
        <w:t xml:space="preserve">Committee report: Favorable with amendment </w:t>
      </w:r>
      <w:r>
        <w:rPr>
          <w:rFonts w:cs="Times New Roman"/>
          <w:b/>
        </w:rPr>
        <w:t>Finance</w:t>
      </w:r>
      <w:r>
        <w:rPr>
          <w:rFonts w:cs="Times New Roman"/>
        </w:rPr>
        <w:t xml:space="preserve"> </w:t>
      </w:r>
      <w:hyperlink r:id="rId14" w:history="1">
        <w:r w:rsidRPr="00565A8F">
          <w:rPr>
            <w:rStyle w:val="Hyperlink"/>
            <w:rFonts w:cs="Times New Roman"/>
          </w:rPr>
          <w:t>SJ</w:t>
        </w:r>
      </w:hyperlink>
      <w:r>
        <w:rPr>
          <w:rFonts w:cs="Times New Roman"/>
        </w:rPr>
        <w:noBreakHyphen/>
        <w:t>4</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Committee Amendment Adopted </w:t>
      </w:r>
      <w:hyperlink r:id="rId15" w:history="1">
        <w:r w:rsidRPr="00565A8F">
          <w:rPr>
            <w:rStyle w:val="Hyperlink"/>
            <w:rFonts w:cs="Times New Roman"/>
          </w:rPr>
          <w:t>SJ</w:t>
        </w:r>
      </w:hyperlink>
      <w:r>
        <w:rPr>
          <w:rFonts w:cs="Times New Roman"/>
        </w:rPr>
        <w:noBreakHyphen/>
        <w:t>24</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Amended </w:t>
      </w:r>
      <w:hyperlink r:id="rId16" w:history="1">
        <w:r w:rsidRPr="00565A8F">
          <w:rPr>
            <w:rStyle w:val="Hyperlink"/>
            <w:rFonts w:cs="Times New Roman"/>
          </w:rPr>
          <w:t>SJ</w:t>
        </w:r>
      </w:hyperlink>
      <w:r>
        <w:rPr>
          <w:rFonts w:cs="Times New Roman"/>
        </w:rPr>
        <w:noBreakHyphen/>
        <w:t>24</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Read second time </w:t>
      </w:r>
      <w:hyperlink r:id="rId17" w:history="1">
        <w:r w:rsidRPr="00565A8F">
          <w:rPr>
            <w:rStyle w:val="Hyperlink"/>
            <w:rFonts w:cs="Times New Roman"/>
          </w:rPr>
          <w:t>SJ</w:t>
        </w:r>
      </w:hyperlink>
      <w:r>
        <w:rPr>
          <w:rFonts w:cs="Times New Roman"/>
        </w:rPr>
        <w:noBreakHyphen/>
        <w:t>24</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Senate</w:t>
      </w:r>
      <w:r>
        <w:rPr>
          <w:rFonts w:cs="Times New Roman"/>
        </w:rPr>
        <w:tab/>
        <w:t xml:space="preserve">Read third time and returned to House with amendments </w:t>
      </w:r>
      <w:hyperlink r:id="rId18" w:history="1">
        <w:r w:rsidRPr="00565A8F">
          <w:rPr>
            <w:rStyle w:val="Hyperlink"/>
            <w:rFonts w:cs="Times New Roman"/>
          </w:rPr>
          <w:t>SJ</w:t>
        </w:r>
      </w:hyperlink>
      <w:r>
        <w:rPr>
          <w:rFonts w:cs="Times New Roman"/>
        </w:rPr>
        <w:noBreakHyphen/>
        <w:t>10</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Concurred in Senate amendment and enrolled </w:t>
      </w:r>
      <w:hyperlink r:id="rId19" w:history="1">
        <w:r w:rsidRPr="00565A8F">
          <w:rPr>
            <w:rStyle w:val="Hyperlink"/>
            <w:rFonts w:cs="Times New Roman"/>
          </w:rPr>
          <w:t>HJ</w:t>
        </w:r>
      </w:hyperlink>
      <w:r>
        <w:rPr>
          <w:rFonts w:cs="Times New Roman"/>
        </w:rPr>
        <w:noBreakHyphen/>
        <w:t>48</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Roll call Yeas</w:t>
      </w:r>
      <w:r>
        <w:rPr>
          <w:rFonts w:cs="Times New Roman"/>
        </w:rPr>
        <w:noBreakHyphen/>
        <w:t>91  Nays</w:t>
      </w:r>
      <w:r>
        <w:rPr>
          <w:rFonts w:cs="Times New Roman"/>
        </w:rPr>
        <w:noBreakHyphen/>
        <w:t xml:space="preserve">0 </w:t>
      </w:r>
      <w:hyperlink r:id="rId20" w:history="1">
        <w:r w:rsidRPr="00565A8F">
          <w:rPr>
            <w:rStyle w:val="Hyperlink"/>
            <w:rFonts w:cs="Times New Roman"/>
          </w:rPr>
          <w:t>HJ</w:t>
        </w:r>
      </w:hyperlink>
      <w:r>
        <w:rPr>
          <w:rFonts w:cs="Times New Roman"/>
        </w:rPr>
        <w:noBreakHyphen/>
        <w:t>48</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Ratified R 33</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r>
      <w:r>
        <w:rPr>
          <w:rFonts w:cs="Times New Roman"/>
        </w:rPr>
        <w:tab/>
        <w:t>Signed By Governor</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t>Effective date 05/06/09</w:t>
      </w:r>
    </w:p>
    <w:p w:rsidR="000D4CB3" w:rsidRDefault="00EC596A">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Act No. 8</w:t>
      </w:r>
    </w:p>
    <w:p w:rsidR="000D4CB3" w:rsidRDefault="000D4CB3">
      <w:pPr>
        <w:widowControl w:val="0"/>
        <w:tabs>
          <w:tab w:val="right" w:pos="1008"/>
          <w:tab w:val="left" w:pos="1152"/>
          <w:tab w:val="left" w:pos="1872"/>
          <w:tab w:val="left" w:pos="9187"/>
        </w:tabs>
        <w:ind w:left="2088" w:hanging="2088"/>
        <w:rPr>
          <w:rFonts w:cs="Times New Roman"/>
        </w:rPr>
      </w:pPr>
    </w:p>
    <w:p w:rsidR="000D4CB3" w:rsidRDefault="000D4CB3">
      <w:pPr>
        <w:widowControl w:val="0"/>
        <w:tabs>
          <w:tab w:val="right" w:pos="1008"/>
          <w:tab w:val="left" w:pos="1152"/>
          <w:tab w:val="left" w:pos="1872"/>
          <w:tab w:val="left" w:pos="9187"/>
        </w:tabs>
        <w:ind w:left="2088" w:hanging="2088"/>
        <w:rPr>
          <w:rFonts w:eastAsia="Times New Roman" w:cs="Times New Roman"/>
          <w:szCs w:val="20"/>
        </w:rPr>
      </w:pPr>
    </w:p>
    <w:p w:rsidR="000D4CB3" w:rsidRDefault="00EC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0D4CB3" w:rsidRDefault="000D4C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4CB3" w:rsidRDefault="00033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EC596A">
          <w:rPr>
            <w:rFonts w:eastAsia="Times New Roman" w:cs="Times New Roman"/>
            <w:color w:val="0000FF" w:themeColor="hyperlink"/>
            <w:szCs w:val="20"/>
            <w:u w:val="single"/>
          </w:rPr>
          <w:t>1/29/2009</w:t>
        </w:r>
      </w:hyperlink>
    </w:p>
    <w:p w:rsidR="000D4CB3" w:rsidRDefault="000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C596A">
          <w:rPr>
            <w:rFonts w:eastAsia="Times New Roman" w:cs="Times New Roman"/>
            <w:color w:val="0000FF" w:themeColor="hyperlink"/>
            <w:szCs w:val="20"/>
            <w:u w:val="single"/>
          </w:rPr>
          <w:t>2/11/2009</w:t>
        </w:r>
      </w:hyperlink>
    </w:p>
    <w:p w:rsidR="000D4CB3" w:rsidRDefault="000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C596A">
          <w:rPr>
            <w:rFonts w:eastAsia="Times New Roman" w:cs="Times New Roman"/>
            <w:color w:val="0000FF" w:themeColor="hyperlink"/>
            <w:szCs w:val="20"/>
            <w:u w:val="single"/>
          </w:rPr>
          <w:t>2/12/2009</w:t>
        </w:r>
      </w:hyperlink>
    </w:p>
    <w:p w:rsidR="000D4CB3" w:rsidRDefault="000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C596A">
          <w:rPr>
            <w:rFonts w:eastAsia="Times New Roman" w:cs="Times New Roman"/>
            <w:color w:val="0000FF" w:themeColor="hyperlink"/>
            <w:szCs w:val="20"/>
            <w:u w:val="single"/>
          </w:rPr>
          <w:t>3/19/2009</w:t>
        </w:r>
      </w:hyperlink>
    </w:p>
    <w:p w:rsidR="000D4CB3" w:rsidRDefault="000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C596A">
          <w:rPr>
            <w:rFonts w:eastAsia="Times New Roman" w:cs="Times New Roman"/>
            <w:color w:val="0000FF" w:themeColor="hyperlink"/>
            <w:szCs w:val="20"/>
            <w:u w:val="single"/>
          </w:rPr>
          <w:t>4/1/2009</w:t>
        </w:r>
      </w:hyperlink>
    </w:p>
    <w:p w:rsidR="000D4CB3" w:rsidRDefault="000D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D4CB3" w:rsidRDefault="000D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D4CB3">
          <w:pgSz w:w="12240" w:h="15840" w:code="1"/>
          <w:pgMar w:top="1080" w:right="1440" w:bottom="1080" w:left="1440" w:header="720" w:footer="720" w:gutter="0"/>
          <w:pgNumType w:start="1"/>
          <w:cols w:space="720"/>
          <w:noEndnote/>
          <w:docGrid w:linePitch="360"/>
        </w:sectPr>
      </w:pP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 R33, H3378)</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THE CODE OF LAWS OF SOUTH CAROLINA, 1976, BY ADDING SECTION 8</w:t>
      </w:r>
      <w:r>
        <w:rPr>
          <w:rFonts w:cs="Times New Roman"/>
          <w:b/>
        </w:rPr>
        <w:noBreakHyphen/>
        <w:t>11</w:t>
      </w:r>
      <w:r>
        <w:rPr>
          <w:rFonts w:cs="Times New Roman"/>
          <w:b/>
        </w:rPr>
        <w:noBreakHyphen/>
        <w:t>192 SO AS TO PROVIDE FOR THE TERMS AND CONDITIONS OF MANDATORY STATE AGENCY FURLOUGH PROGRAMS, TO REQUIRE CERTAIN CONSULTATION AND GUIDANCE SERVICES BY THE OFFICE OF HUMAN RESOURCES OF THE STATE BUDGET AND CONTROL BOARD, AND TO DELETE THE PROVISIONS OF PARAGRAPH 89.120, PART IB, OF ACT 310 OF 2008, RELATING TO STATE AGENCY FURLOUGHS.</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agency furloughs</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Article 1, Chapter 11, Title 8 of the 1976 Code is amended by adding:</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rPr>
        <w:tab/>
        <w:t>“Section 8</w:t>
      </w:r>
      <w:r>
        <w:rPr>
          <w:rFonts w:cs="Times New Roman"/>
        </w:rPr>
        <w:noBreakHyphen/>
        <w:t>11</w:t>
      </w:r>
      <w:r>
        <w:rPr>
          <w:rFonts w:cs="Times New Roman"/>
        </w:rPr>
        <w:noBreakHyphen/>
        <w:t>192.</w:t>
      </w:r>
      <w:r>
        <w:rPr>
          <w:rFonts w:cs="Times New Roman"/>
        </w:rPr>
        <w:tab/>
      </w:r>
      <w:r>
        <w:rPr>
          <w:rFonts w:cs="Times New Roman"/>
          <w:color w:val="000000" w:themeColor="text1"/>
          <w:u w:color="000000" w:themeColor="text1"/>
        </w:rPr>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State Budget and Control Board implements a midyear across</w:t>
      </w:r>
      <w:r>
        <w:rPr>
          <w:rFonts w:cs="Times New Roman"/>
          <w:color w:val="000000" w:themeColor="text1"/>
          <w:u w:color="000000" w:themeColor="text1"/>
        </w:rPr>
        <w:noBreakHyphen/>
        <w:t>the</w:t>
      </w:r>
      <w:r>
        <w:rPr>
          <w:rFonts w:cs="Times New Roman"/>
          <w:color w:val="000000" w:themeColor="text1"/>
          <w:u w:color="000000" w:themeColor="text1"/>
        </w:rPr>
        <w:noBreakHyphen/>
        <w:t>board budget reduction, agency heads may institute employee furlough programs of not more than ten working days in the fiscal year in which the deficit is projected to occur.</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The furlough program must be:</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w:t>
      </w:r>
      <w:r>
        <w:rPr>
          <w:rFonts w:cs="Times New Roman"/>
          <w:color w:val="000000" w:themeColor="text1"/>
          <w:u w:color="000000" w:themeColor="text1"/>
        </w:rPr>
        <w:tab/>
        <w:t>inclusive of all employees in an agency or within a designated department or program regardless of source of funds or place of work, including all classified and unclassified employees in the designated area; or</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(2)</w:t>
      </w:r>
      <w:r>
        <w:rPr>
          <w:rFonts w:cs="Times New Roman"/>
          <w:color w:val="000000" w:themeColor="text1"/>
          <w:u w:color="000000" w:themeColor="text1"/>
        </w:rPr>
        <w:tab/>
        <w:t>based upon pay band for classified employees and based upon pay rate for unclassified employees within the agency or designated department respectively.</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I</w:t>
      </w:r>
      <w:r>
        <w:rPr>
          <w:rFonts w:cs="Times New Roman"/>
        </w:rPr>
        <w:t xml:space="preserve">f the state agency will incur costs for overtime under the federal Fair Labor Standards Act, law enforcement employees and correctional employees may be exempted from a mandatory furlough.  </w:t>
      </w:r>
      <w:r>
        <w:rPr>
          <w:rFonts w:cs="Times New Roman"/>
          <w:color w:val="000000" w:themeColor="text1"/>
          <w:u w:color="000000" w:themeColor="text1"/>
        </w:rPr>
        <w:t>Employees who provide direct patient or client care and front</w:t>
      </w:r>
      <w:r>
        <w:rPr>
          <w:rFonts w:cs="Times New Roman"/>
          <w:color w:val="000000" w:themeColor="text1"/>
          <w:u w:color="000000" w:themeColor="text1"/>
        </w:rPr>
        <w:noBreakHyphen/>
        <w:t xml:space="preserve">line employees who deliver direct customer services may be exempted from a mandatory furlough.  The mandatory furlough must include the agency head.  </w:t>
      </w:r>
      <w:r>
        <w:rPr>
          <w:rFonts w:cs="Times New Roman"/>
          <w:color w:val="000000" w:themeColor="text1"/>
          <w:u w:color="000000" w:themeColor="text1"/>
        </w:rPr>
        <w:lastRenderedPageBreak/>
        <w:t xml:space="preserve">Constitutional officers are exempt from mandatory furlough.  Scheduling of furlough days, or portions of days, shall be at the discretion of the agency head, but under no circumstances should the agency close completely.  </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  </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Placement of an employee on furlough under this provision does not constitute a grievance or appeal under the State Employee Grievance Procedure Act. </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In the event the reduction for the state agency, institution, or department is due solely to the General Assembly transferring or deleting a program, this section does not apply.  The implementation of a furlough program authorized by this section shall be on an agency</w:t>
      </w:r>
      <w:r>
        <w:rPr>
          <w:rFonts w:cs="Times New Roman"/>
          <w:color w:val="000000" w:themeColor="text1"/>
          <w:u w:color="000000" w:themeColor="text1"/>
        </w:rPr>
        <w:noBreakHyphen/>
        <w:t>by</w:t>
      </w:r>
      <w:r>
        <w:rPr>
          <w:rFonts w:cs="Times New Roman"/>
          <w:color w:val="000000" w:themeColor="text1"/>
          <w:u w:color="000000" w:themeColor="text1"/>
        </w:rPr>
        <w:noBreakHyphen/>
        <w:t>agency basis.  Agencies may allocate the employee’s reduction in pay over the balance of the fiscal year for payroll purposes regardless of the pay period within which the furlough occurs.  In the event that an agency implements both a voluntary furlough program and a mandatory furlough program during the fiscal year, furlough days taken voluntarily shall count toward furlough days required by the mandatory furlough.</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The State Budget and Control Board shall promulgate guidelines and policies, as necessary, to implement the provisions of this section.  State agencies shall report information regarding furloughs to the Office of Human Resources of the State Budget and Control Board.</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Pr>
          <w:rStyle w:val="Emphasis"/>
          <w:rFonts w:cs="Times New Roman"/>
          <w:i w:val="0"/>
        </w:rPr>
        <w:tab/>
        <w:t>The Office of Human Resources of the State Budget and Control Board must provide consultation and guidance to each state agency implementing a furlough or reduction in force regarding the long term career development of its employees and the potential financial benefit of implementing a furlough program or reduction in force.</w:t>
      </w:r>
      <w:r>
        <w:rPr>
          <w:rStyle w:val="Emphasis"/>
          <w:rFonts w:cs="Times New Roman"/>
          <w:i w:val="0"/>
        </w:rPr>
        <w:tab/>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The provisions of this section do not apply to employees of those state agencies or institutions covered by Section 8</w:t>
      </w:r>
      <w:r>
        <w:rPr>
          <w:rFonts w:cs="Times New Roman"/>
          <w:color w:val="000000" w:themeColor="text1"/>
          <w:u w:color="000000" w:themeColor="text1"/>
        </w:rPr>
        <w:noBreakHyphen/>
        <w:t>11</w:t>
      </w:r>
      <w:r>
        <w:rPr>
          <w:rFonts w:cs="Times New Roman"/>
          <w:color w:val="000000" w:themeColor="text1"/>
          <w:u w:color="000000" w:themeColor="text1"/>
        </w:rPr>
        <w:noBreakHyphen/>
        <w:t>193, and Section 8</w:t>
      </w:r>
      <w:r>
        <w:rPr>
          <w:rFonts w:cs="Times New Roman"/>
          <w:color w:val="000000" w:themeColor="text1"/>
          <w:u w:color="000000" w:themeColor="text1"/>
        </w:rPr>
        <w:noBreakHyphen/>
        <w:t>11</w:t>
      </w:r>
      <w:r>
        <w:rPr>
          <w:rFonts w:cs="Times New Roman"/>
          <w:color w:val="000000" w:themeColor="text1"/>
          <w:u w:color="000000" w:themeColor="text1"/>
        </w:rPr>
        <w:noBreakHyphen/>
        <w:t>193, rather than this section continues to apply to those employees in the manner provided by law.”</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25FE" w:rsidRDefault="00BD25FE" w:rsidP="00BD25F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Deletion</w:t>
      </w:r>
    </w:p>
    <w:p w:rsidR="00BD25FE" w:rsidRDefault="00BD25FE" w:rsidP="00BD25F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25FE" w:rsidRDefault="00BD25FE" w:rsidP="00BD25F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2.</w:t>
      </w:r>
      <w:r>
        <w:rPr>
          <w:rFonts w:cs="Times New Roman"/>
          <w:color w:val="000000" w:themeColor="text1"/>
          <w:u w:color="000000" w:themeColor="text1"/>
        </w:rPr>
        <w:tab/>
        <w:t>Paragraph 89.120, Part IB, of Act 310 of 2008, as added by Act 414 of 2008, is deleted.</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hanging="216"/>
        <w:jc w:val="both"/>
        <w:rPr>
          <w:rFonts w:cs="Times New Roman"/>
          <w:b/>
        </w:rPr>
      </w:pPr>
      <w:r>
        <w:rPr>
          <w:rFonts w:cs="Times New Roman"/>
          <w:b/>
        </w:rPr>
        <w:t>Time effective</w:t>
      </w: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25FE" w:rsidRDefault="00BD25FE"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This act takes effect upon approval by the Governor.</w:t>
      </w:r>
    </w:p>
    <w:p w:rsidR="00BD25FE" w:rsidRDefault="00BD25FE" w:rsidP="00BD25FE">
      <w:pPr>
        <w:tabs>
          <w:tab w:val="left" w:pos="1440"/>
          <w:tab w:val="left" w:pos="1800"/>
          <w:tab w:val="left" w:pos="2880"/>
        </w:tabs>
        <w:rPr>
          <w:color w:val="000000" w:themeColor="text1"/>
        </w:rPr>
      </w:pPr>
    </w:p>
    <w:p w:rsidR="00BD25FE" w:rsidRDefault="00BD25FE" w:rsidP="00BD25FE">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BD25FE" w:rsidRDefault="00BD25FE" w:rsidP="00BD25FE">
      <w:pPr>
        <w:tabs>
          <w:tab w:val="left" w:pos="1440"/>
          <w:tab w:val="left" w:pos="1800"/>
          <w:tab w:val="left" w:pos="2880"/>
        </w:tabs>
        <w:rPr>
          <w:color w:val="000000" w:themeColor="text1"/>
        </w:rPr>
      </w:pPr>
    </w:p>
    <w:p w:rsidR="00BD25FE" w:rsidRDefault="00BD25FE" w:rsidP="00BD25FE">
      <w:pPr>
        <w:tabs>
          <w:tab w:val="left" w:pos="1440"/>
          <w:tab w:val="left" w:pos="1800"/>
          <w:tab w:val="left" w:pos="2880"/>
        </w:tabs>
        <w:rPr>
          <w:color w:val="000000" w:themeColor="text1"/>
        </w:rPr>
      </w:pPr>
      <w:r>
        <w:rPr>
          <w:color w:val="000000" w:themeColor="text1"/>
        </w:rPr>
        <w:t>Approved the 6</w:t>
      </w:r>
      <w:r w:rsidRPr="00B83FE7">
        <w:rPr>
          <w:color w:val="000000" w:themeColor="text1"/>
          <w:vertAlign w:val="superscript"/>
        </w:rPr>
        <w:t>th</w:t>
      </w:r>
      <w:r>
        <w:rPr>
          <w:color w:val="000000" w:themeColor="text1"/>
        </w:rPr>
        <w:t xml:space="preserve"> day of May, 2009. </w:t>
      </w:r>
    </w:p>
    <w:p w:rsidR="00BD25FE" w:rsidRDefault="00BD25FE" w:rsidP="00BD25FE">
      <w:pPr>
        <w:tabs>
          <w:tab w:val="left" w:pos="1440"/>
          <w:tab w:val="left" w:pos="1800"/>
          <w:tab w:val="left" w:pos="2880"/>
        </w:tabs>
        <w:jc w:val="center"/>
        <w:rPr>
          <w:color w:val="000000" w:themeColor="text1"/>
        </w:rPr>
      </w:pPr>
    </w:p>
    <w:p w:rsidR="00BD25FE" w:rsidRDefault="00BD25FE" w:rsidP="00BD25FE">
      <w:pPr>
        <w:tabs>
          <w:tab w:val="left" w:pos="1440"/>
          <w:tab w:val="left" w:pos="1800"/>
          <w:tab w:val="left" w:pos="2880"/>
        </w:tabs>
        <w:jc w:val="center"/>
        <w:rPr>
          <w:color w:val="000000" w:themeColor="text1"/>
        </w:rPr>
      </w:pPr>
      <w:r>
        <w:rPr>
          <w:color w:val="000000" w:themeColor="text1"/>
        </w:rPr>
        <w:t>__________</w:t>
      </w:r>
    </w:p>
    <w:p w:rsidR="000D4CB3" w:rsidRDefault="000D4CB3" w:rsidP="00BD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D4CB3" w:rsidSect="003C04E9">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CB3" w:rsidRDefault="00EC596A">
      <w:r>
        <w:separator/>
      </w:r>
    </w:p>
  </w:endnote>
  <w:endnote w:type="continuationSeparator" w:id="0">
    <w:p w:rsidR="000D4CB3" w:rsidRDefault="00EC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4E9" w:rsidRDefault="00EC596A">
    <w:pPr>
      <w:pStyle w:val="Footer"/>
      <w:tabs>
        <w:tab w:val="clear" w:pos="4680"/>
        <w:tab w:val="clear" w:pos="9360"/>
        <w:tab w:val="center" w:pos="3168"/>
      </w:tabs>
      <w:spacing w:before="120"/>
    </w:pPr>
    <w:r>
      <w:tab/>
    </w:r>
    <w:r w:rsidR="005E7F85">
      <w:fldChar w:fldCharType="begin"/>
    </w:r>
    <w:r>
      <w:instrText xml:space="preserve"> PAGE  \* MERGEFORMAT </w:instrText>
    </w:r>
    <w:r w:rsidR="005E7F85">
      <w:fldChar w:fldCharType="separate"/>
    </w:r>
    <w:r w:rsidR="00BD25FE">
      <w:rPr>
        <w:noProof/>
      </w:rPr>
      <w:t>3</w:t>
    </w:r>
    <w:r w:rsidR="005E7F8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4E9" w:rsidRDefault="00033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CB3" w:rsidRDefault="00EC596A">
      <w:r>
        <w:separator/>
      </w:r>
    </w:p>
  </w:footnote>
  <w:footnote w:type="continuationSeparator" w:id="0">
    <w:p w:rsidR="000D4CB3" w:rsidRDefault="00EC5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28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橄ㄴⵠڲ਌찔㈇"/>
    <w:docVar w:name="ActBillNo" w:val="㊐շ0"/>
    <w:docVar w:name="ActSecretary" w:val="머㊯먐㊯Ԧ湸㔴"/>
    <w:docVar w:name="ActSIdno" w:val="ǱǱ$/word/document.xml application/vnd.openxmlformats-officedocument.wordprocessingml.document.main"/>
    <w:docVar w:name="clipname" w:val="䭌硌剃汥瑡潩獮楨䡰aﾝ翏㉶耰㉶웣㉼여㉢䀘؇乬ջ"/>
    <w:docVar w:name="dvBillNumber" w:val="㊐շ0"/>
    <w:docVar w:name="dvBillNumberPrefix" w:val="w:docVa"/>
    <w:docVar w:name="HOUSEACTFULLPATH" w:val="ᗑ㤄發㊵發㊵發㊵疼㊵疼㊵發㊵發㊵ὀȀ"/>
    <w:docVar w:name="OrigHOUSEBillNo" w:val="㊐շ0"/>
    <w:docVar w:name="WhatActtype" w:val="머㊯먐㊯Ԧ湸㔴///p:\pprever\2009-10\3378_20090129"/>
  </w:docVars>
  <w:rsids>
    <w:rsidRoot w:val="000D4CB3"/>
    <w:rsid w:val="00033DDF"/>
    <w:rsid w:val="000D4CB3"/>
    <w:rsid w:val="00120072"/>
    <w:rsid w:val="004F1C6E"/>
    <w:rsid w:val="00565A8F"/>
    <w:rsid w:val="005E7F85"/>
    <w:rsid w:val="006511C1"/>
    <w:rsid w:val="008D55FC"/>
    <w:rsid w:val="00A25AD0"/>
    <w:rsid w:val="00BD25FE"/>
    <w:rsid w:val="00D17516"/>
    <w:rsid w:val="00EC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oNotEmbedSmartTags/>
  <w:decimalSymbol w:val="."/>
  <w:listSeparator w:val=","/>
  <w15:docId w15:val="{58860D1B-03D4-45E9-A44B-51C03492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CB3"/>
    <w:pPr>
      <w:spacing w:before="0"/>
    </w:pPr>
  </w:style>
  <w:style w:type="paragraph" w:styleId="Heading1">
    <w:name w:val="heading 1"/>
    <w:basedOn w:val="Normal"/>
    <w:next w:val="Normal"/>
    <w:link w:val="Heading1Char"/>
    <w:uiPriority w:val="9"/>
    <w:qFormat/>
    <w:rsid w:val="000D4C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4CB3"/>
    <w:pPr>
      <w:tabs>
        <w:tab w:val="center" w:pos="4680"/>
        <w:tab w:val="right" w:pos="9360"/>
      </w:tabs>
    </w:pPr>
  </w:style>
  <w:style w:type="character" w:customStyle="1" w:styleId="HeaderChar">
    <w:name w:val="Header Char"/>
    <w:basedOn w:val="DefaultParagraphFont"/>
    <w:link w:val="Header"/>
    <w:uiPriority w:val="99"/>
    <w:semiHidden/>
    <w:rsid w:val="000D4CB3"/>
  </w:style>
  <w:style w:type="paragraph" w:styleId="Footer">
    <w:name w:val="footer"/>
    <w:basedOn w:val="Normal"/>
    <w:link w:val="FooterChar"/>
    <w:uiPriority w:val="99"/>
    <w:semiHidden/>
    <w:unhideWhenUsed/>
    <w:rsid w:val="000D4CB3"/>
    <w:pPr>
      <w:tabs>
        <w:tab w:val="center" w:pos="4680"/>
        <w:tab w:val="right" w:pos="9360"/>
      </w:tabs>
    </w:pPr>
  </w:style>
  <w:style w:type="character" w:customStyle="1" w:styleId="FooterChar">
    <w:name w:val="Footer Char"/>
    <w:basedOn w:val="DefaultParagraphFont"/>
    <w:link w:val="Footer"/>
    <w:uiPriority w:val="99"/>
    <w:semiHidden/>
    <w:rsid w:val="000D4CB3"/>
  </w:style>
  <w:style w:type="character" w:styleId="Emphasis">
    <w:name w:val="Emphasis"/>
    <w:basedOn w:val="DefaultParagraphFont"/>
    <w:uiPriority w:val="20"/>
    <w:qFormat/>
    <w:rsid w:val="000D4CB3"/>
    <w:rPr>
      <w:i/>
      <w:iCs/>
    </w:rPr>
  </w:style>
  <w:style w:type="table" w:styleId="TableGrid">
    <w:name w:val="Table Grid"/>
    <w:basedOn w:val="TableNormal"/>
    <w:uiPriority w:val="59"/>
    <w:rsid w:val="000D4CB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D4CB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25A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11-09.docx" TargetMode="External"/><Relationship Id="rId13" Type="http://schemas.openxmlformats.org/officeDocument/2006/relationships/hyperlink" Target="file:///h:\SJ%20Archive\2009\02-17-09.docx" TargetMode="External"/><Relationship Id="rId18" Type="http://schemas.openxmlformats.org/officeDocument/2006/relationships/hyperlink" Target="file:///h:\SJ%20Archive\2009\04-02-09.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09-10\3378_20090129.docx" TargetMode="External"/><Relationship Id="rId7" Type="http://schemas.openxmlformats.org/officeDocument/2006/relationships/hyperlink" Target="file:///h:\HJ%20Archive\2009\01-29-09.docx" TargetMode="External"/><Relationship Id="rId12" Type="http://schemas.openxmlformats.org/officeDocument/2006/relationships/hyperlink" Target="file:///h:\SJ%20Archive\2009\02-17-09.docx" TargetMode="External"/><Relationship Id="rId17" Type="http://schemas.openxmlformats.org/officeDocument/2006/relationships/hyperlink" Target="file:///h:\SJ%20Archive\2009\04-01-09.docx" TargetMode="External"/><Relationship Id="rId25" Type="http://schemas.openxmlformats.org/officeDocument/2006/relationships/hyperlink" Target="file:///p:\pprever\2009-10\3378_20090401.docx" TargetMode="External"/><Relationship Id="rId2" Type="http://schemas.openxmlformats.org/officeDocument/2006/relationships/settings" Target="settings.xml"/><Relationship Id="rId16" Type="http://schemas.openxmlformats.org/officeDocument/2006/relationships/hyperlink" Target="file:///h:\SJ%20Archive\2009\04-01-09.docx" TargetMode="External"/><Relationship Id="rId20" Type="http://schemas.openxmlformats.org/officeDocument/2006/relationships/hyperlink" Target="file:///h:\HJ%20Archive\2009\04-22-09.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HJ%20Archive\2009\01-29-09.docx" TargetMode="External"/><Relationship Id="rId11" Type="http://schemas.openxmlformats.org/officeDocument/2006/relationships/hyperlink" Target="file:///h:\HJ%20Archive\2009\02-13-09.docx" TargetMode="External"/><Relationship Id="rId24" Type="http://schemas.openxmlformats.org/officeDocument/2006/relationships/hyperlink" Target="file:///p:\pprever\2009-10\3378_20090319.docx" TargetMode="External"/><Relationship Id="rId5" Type="http://schemas.openxmlformats.org/officeDocument/2006/relationships/endnotes" Target="endnotes.xml"/><Relationship Id="rId15" Type="http://schemas.openxmlformats.org/officeDocument/2006/relationships/hyperlink" Target="file:///h:\SJ%20Archive\2009\04-01-09.docx" TargetMode="External"/><Relationship Id="rId23" Type="http://schemas.openxmlformats.org/officeDocument/2006/relationships/hyperlink" Target="file:///p:\pprever\2009-10\3378_20090212.docx" TargetMode="External"/><Relationship Id="rId28" Type="http://schemas.openxmlformats.org/officeDocument/2006/relationships/fontTable" Target="fontTable.xml"/><Relationship Id="rId10" Type="http://schemas.openxmlformats.org/officeDocument/2006/relationships/hyperlink" Target="file:///h:\HJ%20Archive\2009\02-12-09.docx" TargetMode="External"/><Relationship Id="rId19" Type="http://schemas.openxmlformats.org/officeDocument/2006/relationships/hyperlink" Target="file:///h:\HJ%20Archive\2009\04-22-09.docx" TargetMode="External"/><Relationship Id="rId4" Type="http://schemas.openxmlformats.org/officeDocument/2006/relationships/footnotes" Target="footnotes.xml"/><Relationship Id="rId9" Type="http://schemas.openxmlformats.org/officeDocument/2006/relationships/hyperlink" Target="file:///h:\HJ%20Archive\2009\02-12-09.docx" TargetMode="External"/><Relationship Id="rId14" Type="http://schemas.openxmlformats.org/officeDocument/2006/relationships/hyperlink" Target="file:///h:\SJ%20Archive\2009\03-19-09.docx" TargetMode="External"/><Relationship Id="rId22" Type="http://schemas.openxmlformats.org/officeDocument/2006/relationships/hyperlink" Target="file:///p:\pprever\2009-10\3378_2009021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995</Words>
  <Characters>5427</Characters>
  <Application>Microsoft Office Word</Application>
  <DocSecurity>0</DocSecurity>
  <Lines>153</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3378: State agency mandatory furlough terms - South Carolina Legislature Online</dc:title>
  <dc:subject/>
  <dc:creator>GAYLE KUBALA</dc:creator>
  <cp:keywords/>
  <dc:description/>
  <cp:lastModifiedBy>N Cumfer</cp:lastModifiedBy>
  <cp:revision>6</cp:revision>
  <cp:lastPrinted>2009-04-23T15:16:00Z</cp:lastPrinted>
  <dcterms:created xsi:type="dcterms:W3CDTF">2009-06-19T17:24:00Z</dcterms:created>
  <dcterms:modified xsi:type="dcterms:W3CDTF">2014-11-24T16:06:00Z</dcterms:modified>
</cp:coreProperties>
</file>