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bookmarkStart w:id="0" w:name="_GoBack"/>
      <w:bookmarkEnd w:id="0"/>
      <w:r>
        <w:rPr>
          <w:rFonts w:cs="Times New Roman"/>
          <w:b/>
        </w:rPr>
        <w:t>South Carolina General Assembly</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118th Session, 2009-2010</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A29, R63, S345</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STATUS INFORMATION</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General Bill</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Sponsors: Senator Leatherman</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Document Path: l:\s-financ\drafting\hkl\003post.dag.hkl.docx</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Companion/Similar bill(s): 3357, 3406</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29, 2009</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26, 2009</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13, 2009</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19, 2009</w:t>
      </w: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2, 2009, Signed</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Summary: Organ donors</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575D15">
      <w:pPr>
        <w:widowControl w:val="0"/>
        <w:tabs>
          <w:tab w:val="center" w:pos="590"/>
          <w:tab w:val="center" w:pos="1440"/>
          <w:tab w:val="left" w:pos="1872"/>
          <w:tab w:val="left" w:pos="9187"/>
        </w:tabs>
        <w:rPr>
          <w:rFonts w:cs="Times New Roman"/>
        </w:rPr>
      </w:pPr>
      <w:r>
        <w:rPr>
          <w:rFonts w:cs="Times New Roman"/>
          <w:b/>
        </w:rPr>
        <w:t>HISTORY OF LEGISLATIVE ACTIONS</w:t>
      </w:r>
    </w:p>
    <w:p w:rsidR="00371F02" w:rsidRDefault="00371F02">
      <w:pPr>
        <w:widowControl w:val="0"/>
        <w:tabs>
          <w:tab w:val="center" w:pos="590"/>
          <w:tab w:val="center" w:pos="1440"/>
          <w:tab w:val="left" w:pos="1872"/>
          <w:tab w:val="left" w:pos="9187"/>
        </w:tabs>
        <w:rPr>
          <w:rFonts w:cs="Times New Roman"/>
        </w:rPr>
      </w:pPr>
    </w:p>
    <w:p w:rsidR="00371F02" w:rsidRDefault="00575D15">
      <w:pPr>
        <w:widowControl w:val="0"/>
        <w:tabs>
          <w:tab w:val="center" w:pos="590"/>
          <w:tab w:val="center" w:pos="1440"/>
          <w:tab w:val="left" w:pos="1872"/>
          <w:tab w:val="left" w:pos="9187"/>
        </w:tabs>
        <w:rPr>
          <w:rFonts w:cs="Times New Roman"/>
        </w:rPr>
      </w:pPr>
      <w:r>
        <w:rPr>
          <w:rFonts w:cs="Times New Roman"/>
          <w:u w:val="single"/>
        </w:rPr>
        <w:tab/>
        <w:t>Date</w:t>
      </w:r>
      <w:r>
        <w:rPr>
          <w:rFonts w:cs="Times New Roman"/>
          <w:u w:val="single"/>
        </w:rPr>
        <w:tab/>
        <w:t>Body</w:t>
      </w:r>
      <w:r>
        <w:rPr>
          <w:rFonts w:cs="Times New Roman"/>
          <w:u w:val="single"/>
        </w:rPr>
        <w:tab/>
        <w:t>Action Description with journal page number</w:t>
      </w:r>
      <w:r>
        <w:rPr>
          <w:rFonts w:cs="Times New Roman"/>
          <w:u w:val="single"/>
        </w:rPr>
        <w:tab/>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t xml:space="preserve">Introduced and read first time </w:t>
      </w:r>
      <w:hyperlink r:id="rId6" w:history="1">
        <w:r w:rsidRPr="00A31760">
          <w:rPr>
            <w:rStyle w:val="Hyperlink"/>
            <w:rFonts w:cs="Times New Roman"/>
          </w:rPr>
          <w:t>SJ</w:t>
        </w:r>
      </w:hyperlink>
      <w:r>
        <w:rPr>
          <w:rFonts w:cs="Times New Roman"/>
        </w:rPr>
        <w:noBreakHyphen/>
        <w:t>5</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1/29/2009</w:t>
      </w:r>
      <w:r>
        <w:rPr>
          <w:rFonts w:cs="Times New Roman"/>
        </w:rPr>
        <w:tab/>
        <w:t>Senate</w:t>
      </w:r>
      <w:r>
        <w:rPr>
          <w:rFonts w:cs="Times New Roman"/>
        </w:rPr>
        <w:tab/>
        <w:t xml:space="preserve">Referred to Committee on </w:t>
      </w:r>
      <w:r>
        <w:rPr>
          <w:rFonts w:cs="Times New Roman"/>
          <w:b/>
        </w:rPr>
        <w:t>Finance</w:t>
      </w:r>
      <w:r>
        <w:rPr>
          <w:rFonts w:cs="Times New Roman"/>
        </w:rPr>
        <w:t xml:space="preserve"> </w:t>
      </w:r>
      <w:hyperlink r:id="rId7" w:history="1">
        <w:r w:rsidRPr="00A31760">
          <w:rPr>
            <w:rStyle w:val="Hyperlink"/>
            <w:rFonts w:cs="Times New Roman"/>
          </w:rPr>
          <w:t>SJ</w:t>
        </w:r>
      </w:hyperlink>
      <w:r>
        <w:rPr>
          <w:rFonts w:cs="Times New Roman"/>
        </w:rPr>
        <w:noBreakHyphen/>
        <w:t>5</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2/3/2009</w:t>
      </w:r>
      <w:r>
        <w:rPr>
          <w:rFonts w:cs="Times New Roman"/>
        </w:rPr>
        <w:tab/>
        <w:t>Senate</w:t>
      </w:r>
      <w:r>
        <w:rPr>
          <w:rFonts w:cs="Times New Roman"/>
        </w:rPr>
        <w:tab/>
        <w:t>Referred to Subcommittee: Alexander (ch), Setzler, Ryberg, Verdin, Leventis, Jackson</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3/11/2009</w:t>
      </w:r>
      <w:r>
        <w:rPr>
          <w:rFonts w:cs="Times New Roman"/>
        </w:rPr>
        <w:tab/>
        <w:t>Senate</w:t>
      </w:r>
      <w:r>
        <w:rPr>
          <w:rFonts w:cs="Times New Roman"/>
        </w:rPr>
        <w:tab/>
        <w:t xml:space="preserve">Committee report: Favorable with amendment </w:t>
      </w:r>
      <w:r>
        <w:rPr>
          <w:rFonts w:cs="Times New Roman"/>
          <w:b/>
        </w:rPr>
        <w:t>Finance</w:t>
      </w:r>
      <w:r>
        <w:rPr>
          <w:rFonts w:cs="Times New Roman"/>
        </w:rPr>
        <w:t xml:space="preserve"> </w:t>
      </w:r>
      <w:hyperlink r:id="rId8" w:history="1">
        <w:r w:rsidRPr="00A31760">
          <w:rPr>
            <w:rStyle w:val="Hyperlink"/>
            <w:rFonts w:cs="Times New Roman"/>
          </w:rPr>
          <w:t>SJ</w:t>
        </w:r>
      </w:hyperlink>
      <w:r>
        <w:rPr>
          <w:rFonts w:cs="Times New Roman"/>
        </w:rPr>
        <w:noBreakHyphen/>
        <w:t>15</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Committee Amendment Adopted </w:t>
      </w:r>
      <w:hyperlink r:id="rId9" w:history="1">
        <w:r w:rsidRPr="00A31760">
          <w:rPr>
            <w:rStyle w:val="Hyperlink"/>
            <w:rFonts w:cs="Times New Roman"/>
          </w:rPr>
          <w:t>SJ</w:t>
        </w:r>
      </w:hyperlink>
      <w:r>
        <w:rPr>
          <w:rFonts w:cs="Times New Roman"/>
        </w:rPr>
        <w:noBreakHyphen/>
        <w:t>33</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3/17/2009</w:t>
      </w:r>
      <w:r>
        <w:rPr>
          <w:rFonts w:cs="Times New Roman"/>
        </w:rPr>
        <w:tab/>
        <w:t>Senate</w:t>
      </w:r>
      <w:r>
        <w:rPr>
          <w:rFonts w:cs="Times New Roman"/>
        </w:rPr>
        <w:tab/>
        <w:t xml:space="preserve">Amended </w:t>
      </w:r>
      <w:hyperlink r:id="rId10" w:history="1">
        <w:r w:rsidRPr="00A31760">
          <w:rPr>
            <w:rStyle w:val="Hyperlink"/>
            <w:rFonts w:cs="Times New Roman"/>
          </w:rPr>
          <w:t>SJ</w:t>
        </w:r>
      </w:hyperlink>
      <w:r>
        <w:rPr>
          <w:rFonts w:cs="Times New Roman"/>
        </w:rPr>
        <w:noBreakHyphen/>
        <w:t>33</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3/18/2009</w:t>
      </w:r>
      <w:r>
        <w:rPr>
          <w:rFonts w:cs="Times New Roman"/>
        </w:rPr>
        <w:tab/>
      </w:r>
      <w:r>
        <w:rPr>
          <w:rFonts w:cs="Times New Roman"/>
        </w:rPr>
        <w:tab/>
        <w:t>Scrivener's error corrected</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3/24/2009</w:t>
      </w:r>
      <w:r>
        <w:rPr>
          <w:rFonts w:cs="Times New Roman"/>
        </w:rPr>
        <w:tab/>
        <w:t>Senate</w:t>
      </w:r>
      <w:r>
        <w:rPr>
          <w:rFonts w:cs="Times New Roman"/>
        </w:rPr>
        <w:tab/>
        <w:t xml:space="preserve">Read second time </w:t>
      </w:r>
      <w:hyperlink r:id="rId11" w:history="1">
        <w:r w:rsidRPr="00A31760">
          <w:rPr>
            <w:rStyle w:val="Hyperlink"/>
            <w:rFonts w:cs="Times New Roman"/>
          </w:rPr>
          <w:t>SJ</w:t>
        </w:r>
      </w:hyperlink>
      <w:r>
        <w:rPr>
          <w:rFonts w:cs="Times New Roman"/>
        </w:rPr>
        <w:noBreakHyphen/>
        <w:t>26</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3/25/2009</w:t>
      </w:r>
      <w:r>
        <w:rPr>
          <w:rFonts w:cs="Times New Roman"/>
        </w:rPr>
        <w:tab/>
        <w:t>Senate</w:t>
      </w:r>
      <w:r>
        <w:rPr>
          <w:rFonts w:cs="Times New Roman"/>
        </w:rPr>
        <w:tab/>
        <w:t xml:space="preserve">Read third time and sent to House </w:t>
      </w:r>
      <w:hyperlink r:id="rId12" w:history="1">
        <w:r w:rsidRPr="00A31760">
          <w:rPr>
            <w:rStyle w:val="Hyperlink"/>
            <w:rFonts w:cs="Times New Roman"/>
          </w:rPr>
          <w:t>SJ</w:t>
        </w:r>
      </w:hyperlink>
      <w:r>
        <w:rPr>
          <w:rFonts w:cs="Times New Roman"/>
        </w:rPr>
        <w:noBreakHyphen/>
        <w:t>11</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Introduced and read first time </w:t>
      </w:r>
      <w:hyperlink r:id="rId13" w:history="1">
        <w:r w:rsidRPr="00A31760">
          <w:rPr>
            <w:rStyle w:val="Hyperlink"/>
            <w:rFonts w:cs="Times New Roman"/>
          </w:rPr>
          <w:t>HJ</w:t>
        </w:r>
      </w:hyperlink>
      <w:r>
        <w:rPr>
          <w:rFonts w:cs="Times New Roman"/>
        </w:rPr>
        <w:noBreakHyphen/>
        <w:t>9</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3/26/2009</w:t>
      </w:r>
      <w:r>
        <w:rPr>
          <w:rFonts w:cs="Times New Roman"/>
        </w:rPr>
        <w:tab/>
        <w:t>House</w:t>
      </w:r>
      <w:r>
        <w:rPr>
          <w:rFonts w:cs="Times New Roman"/>
        </w:rPr>
        <w:tab/>
        <w:t xml:space="preserve">Referred to Committee on </w:t>
      </w:r>
      <w:r>
        <w:rPr>
          <w:rFonts w:cs="Times New Roman"/>
          <w:b/>
        </w:rPr>
        <w:t>Medical, Military, Public and Municipal Affairs</w:t>
      </w:r>
      <w:r>
        <w:rPr>
          <w:rFonts w:cs="Times New Roman"/>
        </w:rPr>
        <w:t xml:space="preserve"> </w:t>
      </w:r>
      <w:hyperlink r:id="rId14" w:history="1">
        <w:r w:rsidRPr="00A31760">
          <w:rPr>
            <w:rStyle w:val="Hyperlink"/>
            <w:rFonts w:cs="Times New Roman"/>
          </w:rPr>
          <w:t>HJ</w:t>
        </w:r>
      </w:hyperlink>
      <w:r>
        <w:rPr>
          <w:rFonts w:cs="Times New Roman"/>
        </w:rPr>
        <w:noBreakHyphen/>
        <w:t>9</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Recalled from Committee on </w:t>
      </w:r>
      <w:r>
        <w:rPr>
          <w:rFonts w:cs="Times New Roman"/>
          <w:b/>
        </w:rPr>
        <w:t>Medical, Military, Public and Municipal Affairs</w:t>
      </w:r>
      <w:r>
        <w:rPr>
          <w:rFonts w:cs="Times New Roman"/>
        </w:rPr>
        <w:t xml:space="preserve"> </w:t>
      </w:r>
      <w:hyperlink r:id="rId15" w:history="1">
        <w:r w:rsidRPr="00A31760">
          <w:rPr>
            <w:rStyle w:val="Hyperlink"/>
            <w:rFonts w:cs="Times New Roman"/>
          </w:rPr>
          <w:t>HJ</w:t>
        </w:r>
      </w:hyperlink>
      <w:r>
        <w:rPr>
          <w:rFonts w:cs="Times New Roman"/>
        </w:rPr>
        <w:noBreakHyphen/>
        <w:t>72</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3/31/2009</w:t>
      </w:r>
      <w:r>
        <w:rPr>
          <w:rFonts w:cs="Times New Roman"/>
        </w:rPr>
        <w:tab/>
        <w:t>House</w:t>
      </w:r>
      <w:r>
        <w:rPr>
          <w:rFonts w:cs="Times New Roman"/>
        </w:rPr>
        <w:tab/>
        <w:t xml:space="preserve">Referred to Committee on </w:t>
      </w:r>
      <w:r>
        <w:rPr>
          <w:rFonts w:cs="Times New Roman"/>
          <w:b/>
        </w:rPr>
        <w:t>Ways and Means</w:t>
      </w:r>
      <w:r>
        <w:rPr>
          <w:rFonts w:cs="Times New Roman"/>
        </w:rPr>
        <w:t xml:space="preserve"> </w:t>
      </w:r>
      <w:hyperlink r:id="rId16" w:history="1">
        <w:r w:rsidRPr="00A31760">
          <w:rPr>
            <w:rStyle w:val="Hyperlink"/>
            <w:rFonts w:cs="Times New Roman"/>
          </w:rPr>
          <w:t>HJ</w:t>
        </w:r>
      </w:hyperlink>
      <w:r>
        <w:rPr>
          <w:rFonts w:cs="Times New Roman"/>
        </w:rPr>
        <w:noBreakHyphen/>
        <w:t>72</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Recalled from Committee on </w:t>
      </w:r>
      <w:r>
        <w:rPr>
          <w:rFonts w:cs="Times New Roman"/>
          <w:b/>
        </w:rPr>
        <w:t>Ways and Means</w:t>
      </w:r>
      <w:r>
        <w:rPr>
          <w:rFonts w:cs="Times New Roman"/>
        </w:rPr>
        <w:t xml:space="preserve"> </w:t>
      </w:r>
      <w:hyperlink r:id="rId17" w:history="1">
        <w:r w:rsidRPr="00A31760">
          <w:rPr>
            <w:rStyle w:val="Hyperlink"/>
            <w:rFonts w:cs="Times New Roman"/>
          </w:rPr>
          <w:t>HJ</w:t>
        </w:r>
      </w:hyperlink>
      <w:r>
        <w:rPr>
          <w:rFonts w:cs="Times New Roman"/>
        </w:rPr>
        <w:noBreakHyphen/>
        <w:t>41</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Amended </w:t>
      </w:r>
      <w:hyperlink r:id="rId18" w:history="1">
        <w:r w:rsidRPr="00A31760">
          <w:rPr>
            <w:rStyle w:val="Hyperlink"/>
            <w:rFonts w:cs="Times New Roman"/>
          </w:rPr>
          <w:t>HJ</w:t>
        </w:r>
      </w:hyperlink>
      <w:r>
        <w:rPr>
          <w:rFonts w:cs="Times New Roman"/>
        </w:rPr>
        <w:noBreakHyphen/>
        <w:t>24</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5/13/2009</w:t>
      </w:r>
      <w:r>
        <w:rPr>
          <w:rFonts w:cs="Times New Roman"/>
        </w:rPr>
        <w:tab/>
        <w:t>House</w:t>
      </w:r>
      <w:r>
        <w:rPr>
          <w:rFonts w:cs="Times New Roman"/>
        </w:rPr>
        <w:tab/>
        <w:t xml:space="preserve">Read second time </w:t>
      </w:r>
      <w:hyperlink r:id="rId19" w:history="1">
        <w:r w:rsidRPr="00A31760">
          <w:rPr>
            <w:rStyle w:val="Hyperlink"/>
            <w:rFonts w:cs="Times New Roman"/>
          </w:rPr>
          <w:t>HJ</w:t>
        </w:r>
      </w:hyperlink>
      <w:r>
        <w:rPr>
          <w:rFonts w:cs="Times New Roman"/>
        </w:rPr>
        <w:noBreakHyphen/>
        <w:t>24</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t xml:space="preserve">Read third time and returned to Senate with amendments </w:t>
      </w:r>
      <w:hyperlink r:id="rId20" w:history="1">
        <w:r w:rsidRPr="00A31760">
          <w:rPr>
            <w:rStyle w:val="Hyperlink"/>
            <w:rFonts w:cs="Times New Roman"/>
          </w:rPr>
          <w:t>HJ</w:t>
        </w:r>
      </w:hyperlink>
      <w:r>
        <w:rPr>
          <w:rFonts w:cs="Times New Roman"/>
        </w:rPr>
        <w:noBreakHyphen/>
        <w:t>31</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Senate</w:t>
      </w:r>
      <w:r>
        <w:rPr>
          <w:rFonts w:cs="Times New Roman"/>
        </w:rPr>
        <w:tab/>
        <w:t xml:space="preserve">Concurred in House amendment and enrolled </w:t>
      </w:r>
      <w:hyperlink r:id="rId21" w:history="1">
        <w:r w:rsidRPr="00A31760">
          <w:rPr>
            <w:rStyle w:val="Hyperlink"/>
            <w:rFonts w:cs="Times New Roman"/>
          </w:rPr>
          <w:t>SJ</w:t>
        </w:r>
      </w:hyperlink>
      <w:r>
        <w:rPr>
          <w:rFonts w:cs="Times New Roman"/>
        </w:rPr>
        <w:noBreakHyphen/>
        <w:t>32</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63</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06/02/09</w:t>
      </w:r>
    </w:p>
    <w:p w:rsidR="00371F02" w:rsidRDefault="00575D15">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29</w:t>
      </w:r>
    </w:p>
    <w:p w:rsidR="00371F02" w:rsidRDefault="00371F02">
      <w:pPr>
        <w:widowControl w:val="0"/>
        <w:tabs>
          <w:tab w:val="right" w:pos="1008"/>
          <w:tab w:val="left" w:pos="1152"/>
          <w:tab w:val="left" w:pos="1872"/>
          <w:tab w:val="left" w:pos="9187"/>
        </w:tabs>
        <w:ind w:left="2088" w:hanging="2088"/>
        <w:rPr>
          <w:rFonts w:cs="Times New Roman"/>
        </w:rPr>
      </w:pPr>
    </w:p>
    <w:p w:rsidR="00371F02" w:rsidRDefault="00371F02">
      <w:pPr>
        <w:widowControl w:val="0"/>
        <w:tabs>
          <w:tab w:val="right" w:pos="1008"/>
          <w:tab w:val="left" w:pos="1152"/>
          <w:tab w:val="left" w:pos="1872"/>
          <w:tab w:val="left" w:pos="9187"/>
        </w:tabs>
        <w:ind w:left="2088" w:hanging="2088"/>
        <w:rPr>
          <w:rFonts w:cs="Times New Roman"/>
        </w:rPr>
      </w:pPr>
    </w:p>
    <w:p w:rsidR="00371F02" w:rsidRDefault="00575D1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b/>
        </w:rPr>
        <w:t>VERSIONS OF THIS BILL</w:t>
      </w:r>
    </w:p>
    <w:p w:rsidR="00371F02" w:rsidRDefault="00371F0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C261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2" w:history="1">
        <w:r w:rsidR="00575D15">
          <w:rPr>
            <w:rFonts w:cs="Times New Roman"/>
            <w:color w:val="0000FF" w:themeColor="hyperlink"/>
            <w:u w:val="single"/>
          </w:rPr>
          <w:t>1/29/2009</w:t>
        </w:r>
      </w:hyperlink>
    </w:p>
    <w:p w:rsidR="00371F02" w:rsidRDefault="00C2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3" w:history="1">
        <w:r w:rsidR="00575D15">
          <w:rPr>
            <w:rFonts w:cs="Times New Roman"/>
            <w:color w:val="0000FF" w:themeColor="hyperlink"/>
            <w:u w:val="single"/>
          </w:rPr>
          <w:t>3/11/2009</w:t>
        </w:r>
      </w:hyperlink>
    </w:p>
    <w:p w:rsidR="00371F02" w:rsidRDefault="00C2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4" w:history="1">
        <w:r w:rsidR="00575D15">
          <w:rPr>
            <w:rFonts w:cs="Times New Roman"/>
            <w:color w:val="0000FF" w:themeColor="hyperlink"/>
            <w:u w:val="single"/>
          </w:rPr>
          <w:t>3/17/2009</w:t>
        </w:r>
      </w:hyperlink>
    </w:p>
    <w:p w:rsidR="00371F02" w:rsidRDefault="00C2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5" w:history="1">
        <w:r w:rsidR="00575D15">
          <w:rPr>
            <w:rFonts w:cs="Times New Roman"/>
            <w:color w:val="0000FF" w:themeColor="hyperlink"/>
            <w:u w:val="single"/>
          </w:rPr>
          <w:t>3/18/2009</w:t>
        </w:r>
      </w:hyperlink>
    </w:p>
    <w:p w:rsidR="00371F02" w:rsidRDefault="00C2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6" w:history="1">
        <w:r w:rsidR="00575D15">
          <w:rPr>
            <w:rFonts w:cs="Times New Roman"/>
            <w:color w:val="0000FF" w:themeColor="hyperlink"/>
            <w:u w:val="single"/>
          </w:rPr>
          <w:t>5/12/2009</w:t>
        </w:r>
      </w:hyperlink>
    </w:p>
    <w:p w:rsidR="00371F02" w:rsidRDefault="00C261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7" w:history="1">
        <w:r w:rsidR="00575D15">
          <w:rPr>
            <w:rFonts w:cs="Times New Roman"/>
            <w:color w:val="0000FF" w:themeColor="hyperlink"/>
            <w:u w:val="single"/>
          </w:rPr>
          <w:t>5/13/2009</w:t>
        </w:r>
      </w:hyperlink>
    </w:p>
    <w:p w:rsidR="00371F02" w:rsidRDefault="0037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71F02" w:rsidRDefault="00371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71F02">
          <w:pgSz w:w="12240" w:h="15840" w:code="1"/>
          <w:pgMar w:top="1080" w:right="1440" w:bottom="1080" w:left="1440" w:header="720" w:footer="720" w:gutter="0"/>
          <w:pgNumType w:start="1"/>
          <w:cols w:space="720"/>
          <w:noEndnote/>
          <w:docGrid w:linePitch="360"/>
        </w:sect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 R63, S345)</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eastAsia="Times New Roman" w:cs="Times New Roman"/>
          <w:b/>
        </w:rPr>
        <w:t>TO AMEND SECTION 8</w:t>
      </w:r>
      <w:r>
        <w:rPr>
          <w:rFonts w:eastAsia="Times New Roman" w:cs="Times New Roman"/>
          <w:b/>
        </w:rPr>
        <w:noBreakHyphen/>
        <w:t>11</w:t>
      </w:r>
      <w:r>
        <w:rPr>
          <w:rFonts w:eastAsia="Times New Roman" w:cs="Times New Roman"/>
          <w:b/>
        </w:rPr>
        <w:noBreakHyphen/>
        <w:t>65, CODE OF LAWS OF SOUTH CAROLINA, 1976, RELATING TO LEAVES OF ABSENCE TO BE AN ORGAN DONOR, SO AS TO PROVIDE THAT THE NUMBER OF DAYS A PERSON MAY MISS EACH YEAR TO DONATE THEIR ORGANS MUST BE COUNTED IN A CALENDAR YEAR INSTEAD OF A FISCAL YEAR; TO AMEND SECTION 8</w:t>
      </w:r>
      <w:r>
        <w:rPr>
          <w:rFonts w:eastAsia="Times New Roman" w:cs="Times New Roman"/>
          <w:b/>
        </w:rPr>
        <w:noBreakHyphen/>
        <w:t>11</w:t>
      </w:r>
      <w:r>
        <w:rPr>
          <w:rFonts w:eastAsia="Times New Roman" w:cs="Times New Roman"/>
          <w:b/>
        </w:rPr>
        <w:noBreakHyphen/>
        <w:t>120, AS AMENDED, RELATING TO THE POSTING OF STATE AGENCY JOB VACANCIES WITH THE EMPLOYMENT SECURITY COMMISSION AND THE STATE BUDGET AND CONTROL BOARD BEFORE THE VACANCY IS FILLED,</w:t>
      </w:r>
      <w:r>
        <w:rPr>
          <w:rFonts w:eastAsia="Times New Roman" w:cs="Times New Roman"/>
          <w:b/>
          <w:szCs w:val="20"/>
        </w:rPr>
        <w:t xml:space="preserve"> SO AS TO REVISE AND SIMPLIFY THE REQUIREMENTS FOR PROVIDING NOTICE OF THE VACANCY, INCLUDING, BUT NOT LIMITED TO, REQUIRING POSTING AT LEAST FIVE DAYS BEFORE THE JOB IS FILLED; BY ADDING SECTION 8</w:t>
      </w:r>
      <w:r>
        <w:rPr>
          <w:rFonts w:eastAsia="Times New Roman" w:cs="Times New Roman"/>
          <w:b/>
          <w:szCs w:val="20"/>
        </w:rPr>
        <w:noBreakHyphen/>
        <w:t>11</w:t>
      </w:r>
      <w:r>
        <w:rPr>
          <w:rFonts w:eastAsia="Times New Roman" w:cs="Times New Roman"/>
          <w:b/>
          <w:szCs w:val="20"/>
        </w:rPr>
        <w:noBreakHyphen/>
        <w:t>33 SO AS TO PROVIDE CERTAIN CIRCUMSTANCES UNDER WHICH A STATE EMPLOYEE’S PAY MAY BE WITHHELD; TO AMEND SECTION 8</w:t>
      </w:r>
      <w:r>
        <w:rPr>
          <w:rFonts w:eastAsia="Times New Roman" w:cs="Times New Roman"/>
          <w:b/>
          <w:szCs w:val="20"/>
        </w:rPr>
        <w:noBreakHyphen/>
        <w:t>11</w:t>
      </w:r>
      <w:r>
        <w:rPr>
          <w:rFonts w:eastAsia="Times New Roman" w:cs="Times New Roman"/>
          <w:b/>
          <w:szCs w:val="20"/>
        </w:rPr>
        <w:noBreakHyphen/>
        <w:t>196, AS AMENDED, RELATING TO HIRING EMPLOYEES TO FILL TEMPORARY GRANT POSITIONS, SO AS TO APPLY CERTAIN PROVISIONS OF THIS SECTION TO ALL STATE AGENCIES RATHER THAN ONLY TO PUBLIC INSTITUTIONS OF HIGHER EDUCATION; AND TO AUTHORIZE THE STATE OFFICE OF HUMAN RESOURCES TO AMEND POLICIES, REGULATIONS, AND PROCESSES AS NEEDED TO IMPLEMENT AND TRANSITION TO THE SOUTH CAROLINA ENTERPRISE INFORMATIONAL SYSTEM.</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bookmarkStart w:id="1" w:name="titleend"/>
      <w:bookmarkEnd w:id="1"/>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Pr>
          <w:rFonts w:eastAsia="Times New Roman" w:cs="Times New Roman"/>
        </w:rPr>
        <w:t>Be it enacted by the General Assembly of the State of South Carolina:</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Calculating leave of absence for organ donation</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r>
        <w:rPr>
          <w:rFonts w:eastAsia="Times New Roman" w:cs="Times New Roman"/>
          <w:color w:val="000000" w:themeColor="text1"/>
          <w:u w:color="000000" w:themeColor="text1"/>
        </w:rPr>
        <w:t>SECTION</w:t>
      </w:r>
      <w:r>
        <w:rPr>
          <w:rFonts w:eastAsia="Times New Roman" w:cs="Times New Roman"/>
          <w:color w:val="000000" w:themeColor="text1"/>
          <w:u w:color="000000" w:themeColor="text1"/>
        </w:rPr>
        <w:tab/>
        <w:t>1.</w:t>
      </w:r>
      <w:r>
        <w:rPr>
          <w:rFonts w:eastAsia="Times New Roman" w:cs="Times New Roman"/>
          <w:color w:val="000000" w:themeColor="text1"/>
          <w:u w:color="000000" w:themeColor="text1"/>
        </w:rPr>
        <w:tab/>
        <w:t>Section 8</w:t>
      </w:r>
      <w:r>
        <w:rPr>
          <w:rFonts w:eastAsia="Times New Roman" w:cs="Times New Roman"/>
          <w:color w:val="000000" w:themeColor="text1"/>
          <w:u w:color="000000" w:themeColor="text1"/>
        </w:rPr>
        <w:noBreakHyphen/>
        <w:t>11</w:t>
      </w:r>
      <w:r>
        <w:rPr>
          <w:rFonts w:eastAsia="Times New Roman" w:cs="Times New Roman"/>
          <w:color w:val="000000" w:themeColor="text1"/>
          <w:u w:color="000000" w:themeColor="text1"/>
        </w:rPr>
        <w:noBreakHyphen/>
        <w:t>65(A) of the 1976 Code, as added by Act 347 of 2002, is amended to read:</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eastAsia="Times New Roman" w:cs="Times New Roman"/>
          <w:color w:val="000000" w:themeColor="text1"/>
          <w:u w:color="000000" w:themeColor="text1"/>
        </w:rPr>
        <w:tab/>
        <w:t>“(A)</w:t>
      </w:r>
      <w:r>
        <w:rPr>
          <w:rFonts w:eastAsia="Times New Roman" w:cs="Times New Roman"/>
          <w:color w:val="000000" w:themeColor="text1"/>
          <w:u w:color="000000" w:themeColor="text1"/>
        </w:rPr>
        <w:tab/>
        <w:t xml:space="preserve"> </w:t>
      </w:r>
      <w:r>
        <w:rPr>
          <w:rFonts w:cs="Times New Roman"/>
          <w:color w:val="000000" w:themeColor="text1"/>
          <w:u w:color="000000" w:themeColor="text1"/>
        </w:rPr>
        <w:t>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Pr>
          <w:rFonts w:cs="Times New Roman"/>
          <w:color w:val="000000" w:themeColor="text1"/>
          <w:u w:color="000000" w:themeColor="text1"/>
        </w:rPr>
        <w:noBreakHyphen/>
        <w:t>day aggregate unless the particular Saturday, Sunday, or holiday to be included is a regularly scheduled workday for the officer or employee involved.”</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cs="Times New Roman"/>
          <w:b/>
          <w:color w:val="000000" w:themeColor="text1"/>
          <w:u w:color="000000" w:themeColor="text1"/>
        </w:rPr>
        <w:t>State agency job vacancy postings</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u w:color="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SECTION</w:t>
      </w:r>
      <w:r>
        <w:rPr>
          <w:rFonts w:eastAsia="Times New Roman" w:cs="Times New Roman"/>
          <w:color w:val="000000" w:themeColor="text1"/>
          <w:szCs w:val="20"/>
          <w:u w:color="000000" w:themeColor="text1"/>
        </w:rPr>
        <w:tab/>
        <w:t>2.</w:t>
      </w:r>
      <w:r>
        <w:rPr>
          <w:rFonts w:eastAsia="Times New Roman" w:cs="Times New Roman"/>
          <w:color w:val="000000" w:themeColor="text1"/>
          <w:szCs w:val="20"/>
          <w:u w:color="000000" w:themeColor="text1"/>
        </w:rPr>
        <w:tab/>
        <w:t>Section 8</w:t>
      </w:r>
      <w:r>
        <w:rPr>
          <w:rFonts w:eastAsia="Times New Roman" w:cs="Times New Roman"/>
          <w:color w:val="000000" w:themeColor="text1"/>
          <w:szCs w:val="20"/>
          <w:u w:color="000000" w:themeColor="text1"/>
        </w:rPr>
        <w:noBreakHyphen/>
        <w:t>11</w:t>
      </w:r>
      <w:r>
        <w:rPr>
          <w:rFonts w:eastAsia="Times New Roman" w:cs="Times New Roman"/>
          <w:color w:val="000000" w:themeColor="text1"/>
          <w:szCs w:val="20"/>
          <w:u w:color="000000" w:themeColor="text1"/>
        </w:rPr>
        <w:noBreakHyphen/>
        <w:t>120 of the 1976 Code, as last amended by Act 484 of 1990, is further amended to read:</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“Section 8</w:t>
      </w:r>
      <w:r>
        <w:rPr>
          <w:rFonts w:eastAsia="Times New Roman" w:cs="Times New Roman"/>
          <w:color w:val="000000" w:themeColor="text1"/>
          <w:szCs w:val="20"/>
          <w:u w:color="000000" w:themeColor="text1"/>
        </w:rPr>
        <w:noBreakHyphen/>
        <w:t>11</w:t>
      </w:r>
      <w:r>
        <w:rPr>
          <w:rFonts w:eastAsia="Times New Roman" w:cs="Times New Roman"/>
          <w:color w:val="000000" w:themeColor="text1"/>
          <w:szCs w:val="20"/>
          <w:u w:color="000000" w:themeColor="text1"/>
        </w:rPr>
        <w:noBreakHyphen/>
        <w:t>120.</w:t>
      </w:r>
      <w:r>
        <w:rPr>
          <w:rFonts w:eastAsia="Times New Roman" w:cs="Times New Roman"/>
          <w:color w:val="000000" w:themeColor="text1"/>
          <w:szCs w:val="20"/>
          <w:u w:color="000000" w:themeColor="text1"/>
        </w:rPr>
        <w:tab/>
      </w:r>
      <w:r>
        <w:rPr>
          <w:rFonts w:eastAsia="Times New Roman" w:cs="Times New Roman"/>
          <w:color w:val="000000" w:themeColor="text1"/>
          <w:szCs w:val="20"/>
          <w:u w:color="000000" w:themeColor="text1"/>
        </w:rPr>
        <w:tab/>
        <w:t xml:space="preserve">In addition to any other requirement provided by law, when a job vacancy occurs in any state office, agency, department, or other </w:t>
      </w:r>
      <w:r>
        <w:rPr>
          <w:rFonts w:eastAsia="Times New Roman" w:cs="Times New Roman"/>
          <w:szCs w:val="20"/>
        </w:rPr>
        <w:t>division of the executive</w:t>
      </w:r>
      <w:r>
        <w:rPr>
          <w:rFonts w:eastAsia="Times New Roman" w:cs="Times New Roman"/>
          <w:color w:val="000000" w:themeColor="text1"/>
          <w:szCs w:val="20"/>
          <w:u w:color="000000" w:themeColor="text1"/>
        </w:rPr>
        <w:t xml:space="preserve"> branch of state government, the appointing authority must post a notice with the Office of Human Resources of the State Budget and Control Board and the South Carolina Employment Security Commission at least five working days before employing a person to fill the vacancy.  The posting must give notice of the job vacancy, describe the duties to be performed by a person employed in that position, and include any other information required by law.</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r>
        <w:rPr>
          <w:rFonts w:eastAsia="Times New Roman" w:cs="Times New Roman"/>
          <w:color w:val="000000" w:themeColor="text1"/>
          <w:szCs w:val="20"/>
          <w:u w:color="000000" w:themeColor="text1"/>
        </w:rPr>
        <w:tab/>
        <w:t>For purposes of this section, ‘appointing authority’ shall have the same meaning as in Section 8</w:t>
      </w:r>
      <w:r>
        <w:rPr>
          <w:rFonts w:eastAsia="Times New Roman" w:cs="Times New Roman"/>
          <w:color w:val="000000" w:themeColor="text1"/>
          <w:szCs w:val="20"/>
          <w:u w:color="000000" w:themeColor="text1"/>
        </w:rPr>
        <w:noBreakHyphen/>
        <w:t>11</w:t>
      </w:r>
      <w:r>
        <w:rPr>
          <w:rFonts w:eastAsia="Times New Roman" w:cs="Times New Roman"/>
          <w:color w:val="000000" w:themeColor="text1"/>
          <w:szCs w:val="20"/>
          <w:u w:color="000000" w:themeColor="text1"/>
        </w:rPr>
        <w:noBreakHyphen/>
        <w:t>220.”</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themeColor="text1"/>
          <w:szCs w:val="20"/>
          <w:u w:color="000000" w:themeColor="text1"/>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color w:val="000000" w:themeColor="text1"/>
          <w:u w:color="000000" w:themeColor="text1"/>
        </w:rPr>
      </w:pPr>
      <w:r>
        <w:rPr>
          <w:rFonts w:eastAsia="Times New Roman" w:cs="Times New Roman"/>
          <w:b/>
          <w:color w:val="000000" w:themeColor="text1"/>
          <w:szCs w:val="20"/>
          <w:u w:color="000000" w:themeColor="text1"/>
        </w:rPr>
        <w:t>Withholding or deducting pay from a state employee</w:t>
      </w:r>
      <w:r>
        <w:rPr>
          <w:rFonts w:eastAsia="Times New Roman" w:cs="Times New Roman"/>
          <w:color w:val="000000" w:themeColor="text1"/>
          <w:szCs w:val="20"/>
          <w:u w:color="000000" w:themeColor="text1"/>
        </w:rPr>
        <w:t>’</w:t>
      </w:r>
      <w:r>
        <w:rPr>
          <w:rFonts w:eastAsia="Times New Roman" w:cs="Times New Roman"/>
          <w:b/>
          <w:color w:val="000000" w:themeColor="text1"/>
          <w:szCs w:val="20"/>
          <w:u w:color="000000" w:themeColor="text1"/>
        </w:rPr>
        <w:t>s wages</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3.</w:t>
      </w:r>
      <w:r>
        <w:rPr>
          <w:rFonts w:eastAsia="Times New Roman" w:cs="Times New Roman"/>
          <w:szCs w:val="24"/>
        </w:rPr>
        <w:tab/>
        <w:t>Article 1, Chapter 11, Title 8 of the 1976 Code is amended by adding:</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“Section 8</w:t>
      </w:r>
      <w:r>
        <w:rPr>
          <w:rFonts w:eastAsia="Times New Roman" w:cs="Times New Roman"/>
          <w:szCs w:val="24"/>
        </w:rPr>
        <w:noBreakHyphen/>
        <w:t>11</w:t>
      </w:r>
      <w:r>
        <w:rPr>
          <w:rFonts w:eastAsia="Times New Roman" w:cs="Times New Roman"/>
          <w:szCs w:val="24"/>
        </w:rPr>
        <w:noBreakHyphen/>
        <w:t>33.</w:t>
      </w:r>
      <w:r>
        <w:rPr>
          <w:rFonts w:eastAsia="Times New Roman" w:cs="Times New Roman"/>
          <w:szCs w:val="24"/>
        </w:rPr>
        <w:tab/>
        <w:t>Notwithstanding any other provision of law, a state agency that has its payroll processed by the Office of the Comptroller General is authorized to withhold or deduct any portion of a state employee’s wages when:</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(1)</w:t>
      </w:r>
      <w:r>
        <w:rPr>
          <w:rFonts w:eastAsia="Times New Roman" w:cs="Times New Roman"/>
          <w:szCs w:val="24"/>
        </w:rPr>
        <w:tab/>
        <w:t>the State of South Carolina or a state agency that has its payroll processed by the Office of the Comptroller General in its role as an employer is required or empowered to do so by state or federal law; or</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(2)</w:t>
      </w:r>
      <w:r>
        <w:rPr>
          <w:rFonts w:eastAsia="Times New Roman" w:cs="Times New Roman"/>
          <w:szCs w:val="24"/>
        </w:rPr>
        <w:tab/>
        <w:t>an overpayment of wages to an employee as a result of a miscalculation or other bona fide error has occurred.</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Prior to any deduction being made pursuant to this section, the employee must receive advance written notice of the deduction, the reason for the deduction, and the actual dollar amount or percentage of wages which will be deducted during one or more pay periods.”</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szCs w:val="24"/>
        </w:rPr>
      </w:pPr>
      <w:r>
        <w:rPr>
          <w:rFonts w:eastAsia="Times New Roman" w:cs="Times New Roman"/>
          <w:b/>
          <w:szCs w:val="24"/>
        </w:rPr>
        <w:t>Hiring employees to fill temporary grant positions</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SECTION</w:t>
      </w:r>
      <w:r>
        <w:rPr>
          <w:rFonts w:eastAsia="Times New Roman" w:cs="Times New Roman"/>
          <w:szCs w:val="24"/>
        </w:rPr>
        <w:tab/>
        <w:t>4.</w:t>
      </w:r>
      <w:r>
        <w:rPr>
          <w:rFonts w:eastAsia="Times New Roman" w:cs="Times New Roman"/>
          <w:szCs w:val="24"/>
        </w:rPr>
        <w:tab/>
        <w:t>Section 8</w:t>
      </w:r>
      <w:r>
        <w:rPr>
          <w:rFonts w:eastAsia="Times New Roman" w:cs="Times New Roman"/>
          <w:szCs w:val="24"/>
        </w:rPr>
        <w:noBreakHyphen/>
        <w:t>11</w:t>
      </w:r>
      <w:r>
        <w:rPr>
          <w:rFonts w:eastAsia="Times New Roman" w:cs="Times New Roman"/>
          <w:szCs w:val="24"/>
        </w:rPr>
        <w:noBreakHyphen/>
        <w:t>196(3) of the 1976 Code, as added by Act 356 of 2002, is amended to read:</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szCs w:val="24"/>
        </w:rPr>
        <w:tab/>
        <w:t>“(3)</w:t>
      </w:r>
      <w:r>
        <w:rPr>
          <w:rFonts w:eastAsia="Times New Roman" w:cs="Times New Roman"/>
          <w:szCs w:val="24"/>
        </w:rPr>
        <w:tab/>
      </w:r>
      <w:r>
        <w:rPr>
          <w:rFonts w:cs="Times New Roman"/>
        </w:rPr>
        <w:t>positions established under this provision must be limited to and must not exist beyond the duration of the time</w:t>
      </w:r>
      <w:r>
        <w:rPr>
          <w:rFonts w:cs="Times New Roman"/>
        </w:rPr>
        <w:noBreakHyphen/>
        <w:t>limited project, grant, or a subsequent renewal of it.  However, at the discretion of any agency, other funds may be used to fund continued employment between the expiration of one grant or time</w:t>
      </w:r>
      <w:r>
        <w:rPr>
          <w:rFonts w:cs="Times New Roman"/>
        </w:rPr>
        <w:noBreakHyphen/>
        <w:t>limited project and the subsequent renewal of the same or similar grant or time</w:t>
      </w:r>
      <w:r>
        <w:rPr>
          <w:rFonts w:cs="Times New Roman"/>
        </w:rPr>
        <w:noBreakHyphen/>
        <w:t>limited project.  When the grant, time</w:t>
      </w:r>
      <w:r>
        <w:rPr>
          <w:rFonts w:cs="Times New Roman"/>
        </w:rPr>
        <w:noBreakHyphen/>
        <w:t>limited project, or a subsequent renewal ends, temporary grant or time</w:t>
      </w:r>
      <w:r>
        <w:rPr>
          <w:rFonts w:cs="Times New Roman"/>
        </w:rPr>
        <w:noBreakHyphen/>
        <w:t>limited project employees must be terminated and their positions will cease to exist.  Temporary grant or time</w:t>
      </w:r>
      <w:r>
        <w:rPr>
          <w:rFonts w:cs="Times New Roman"/>
        </w:rPr>
        <w:noBreakHyphen/>
        <w:t>limited project employees will be exempt from the provisions of Sections 8</w:t>
      </w:r>
      <w:r>
        <w:rPr>
          <w:rFonts w:cs="Times New Roman"/>
        </w:rPr>
        <w:noBreakHyphen/>
        <w:t>17</w:t>
      </w:r>
      <w:r>
        <w:rPr>
          <w:rFonts w:cs="Times New Roman"/>
        </w:rPr>
        <w:noBreakHyphen/>
        <w:t>310 through 8</w:t>
      </w:r>
      <w:r>
        <w:rPr>
          <w:rFonts w:cs="Times New Roman"/>
        </w:rPr>
        <w:noBreakHyphen/>
        <w:t>17</w:t>
      </w:r>
      <w:r>
        <w:rPr>
          <w:rFonts w:cs="Times New Roman"/>
        </w:rPr>
        <w:noBreakHyphen/>
        <w:t>380.  State agencies and institutions must terminate all temporary grant or time</w:t>
      </w:r>
      <w:r>
        <w:rPr>
          <w:rFonts w:cs="Times New Roman"/>
        </w:rPr>
        <w:noBreakHyphen/>
        <w:t>limited project positions when funding is terminated, or is insufficient to continue payments under the conditions of the grant or time</w:t>
      </w:r>
      <w:r>
        <w:rPr>
          <w:rFonts w:cs="Times New Roman"/>
        </w:rPr>
        <w:noBreakHyphen/>
        <w:t>limited project;”</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Implementation and transition to the South Carolina Enterprise Informational System</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napToGrid w:val="0"/>
          <w:szCs w:val="20"/>
        </w:rPr>
        <w:t>SECTION</w:t>
      </w:r>
      <w:r>
        <w:rPr>
          <w:rFonts w:eastAsia="Times New Roman" w:cs="Times New Roman"/>
          <w:snapToGrid w:val="0"/>
          <w:szCs w:val="20"/>
        </w:rPr>
        <w:tab/>
        <w:t>5.</w:t>
      </w:r>
      <w:r>
        <w:rPr>
          <w:rFonts w:eastAsia="Times New Roman" w:cs="Times New Roman"/>
          <w:snapToGrid w:val="0"/>
          <w:szCs w:val="20"/>
        </w:rPr>
        <w:tab/>
        <w:t xml:space="preserve"> </w:t>
      </w:r>
      <w:r>
        <w:rPr>
          <w:rFonts w:eastAsia="Times New Roman" w:cs="Times New Roman"/>
          <w:szCs w:val="24"/>
        </w:rPr>
        <w:t>In order to implement and transition to the South Carolina Enterprise Informational System, the State Office of Human Resources is authorized to amend or modify human resource policies, regulations, and processes as it determines efficient to implement and transition to the South Carolina Enterprise Informational System.  Any changes or modifications adopted by the State Office of Human Resources shall be published in the State Register and published on the official State Office of Human Resources website prior to the changes or modifications taking effect.</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szCs w:val="24"/>
        </w:rPr>
        <w:t>Time effective</w:t>
      </w: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5615BF" w:rsidRDefault="005615BF"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eastAsia="Times New Roman" w:cs="Times New Roman"/>
        </w:rPr>
        <w:t>SECTION</w:t>
      </w:r>
      <w:r>
        <w:rPr>
          <w:rFonts w:eastAsia="Times New Roman" w:cs="Times New Roman"/>
        </w:rPr>
        <w:tab/>
        <w:t>6.</w:t>
      </w:r>
      <w:r>
        <w:rPr>
          <w:rFonts w:eastAsia="Times New Roman" w:cs="Times New Roman"/>
        </w:rPr>
        <w:tab/>
        <w:t>This act takes effect upon approval by the Governor.</w:t>
      </w:r>
    </w:p>
    <w:p w:rsidR="005615BF" w:rsidRDefault="005615BF" w:rsidP="005615BF">
      <w:pPr>
        <w:tabs>
          <w:tab w:val="left" w:pos="1440"/>
          <w:tab w:val="left" w:pos="1800"/>
          <w:tab w:val="left" w:pos="2880"/>
        </w:tabs>
        <w:rPr>
          <w:color w:val="000000" w:themeColor="text1"/>
        </w:rPr>
      </w:pPr>
    </w:p>
    <w:p w:rsidR="005615BF" w:rsidRDefault="005615BF" w:rsidP="005615BF">
      <w:pPr>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5615BF" w:rsidRDefault="005615BF" w:rsidP="005615BF">
      <w:pPr>
        <w:tabs>
          <w:tab w:val="left" w:pos="1440"/>
          <w:tab w:val="left" w:pos="1800"/>
          <w:tab w:val="left" w:pos="2880"/>
        </w:tabs>
        <w:rPr>
          <w:color w:val="000000" w:themeColor="text1"/>
        </w:rPr>
      </w:pPr>
    </w:p>
    <w:p w:rsidR="005615BF" w:rsidRDefault="005615BF" w:rsidP="005615BF">
      <w:pPr>
        <w:tabs>
          <w:tab w:val="left" w:pos="1440"/>
          <w:tab w:val="left" w:pos="1800"/>
          <w:tab w:val="left" w:pos="2880"/>
        </w:tabs>
        <w:rPr>
          <w:color w:val="000000" w:themeColor="text1"/>
        </w:rPr>
      </w:pPr>
      <w:r>
        <w:rPr>
          <w:color w:val="000000" w:themeColor="text1"/>
        </w:rPr>
        <w:t>Approved the 2</w:t>
      </w:r>
      <w:r w:rsidRPr="006212D2">
        <w:rPr>
          <w:color w:val="000000" w:themeColor="text1"/>
          <w:vertAlign w:val="superscript"/>
        </w:rPr>
        <w:t>nd</w:t>
      </w:r>
      <w:r>
        <w:rPr>
          <w:color w:val="000000" w:themeColor="text1"/>
        </w:rPr>
        <w:t xml:space="preserve"> day of June, 2009. </w:t>
      </w:r>
    </w:p>
    <w:p w:rsidR="005615BF" w:rsidRDefault="005615BF" w:rsidP="005615BF">
      <w:pPr>
        <w:tabs>
          <w:tab w:val="left" w:pos="1440"/>
          <w:tab w:val="left" w:pos="1800"/>
          <w:tab w:val="left" w:pos="2880"/>
        </w:tabs>
        <w:jc w:val="center"/>
        <w:rPr>
          <w:color w:val="000000" w:themeColor="text1"/>
        </w:rPr>
      </w:pPr>
    </w:p>
    <w:p w:rsidR="005615BF" w:rsidRDefault="005615BF" w:rsidP="005615BF">
      <w:pPr>
        <w:tabs>
          <w:tab w:val="left" w:pos="1440"/>
          <w:tab w:val="left" w:pos="1800"/>
          <w:tab w:val="left" w:pos="2880"/>
        </w:tabs>
        <w:jc w:val="center"/>
        <w:rPr>
          <w:color w:val="000000" w:themeColor="text1"/>
        </w:rPr>
      </w:pPr>
      <w:r>
        <w:rPr>
          <w:color w:val="000000" w:themeColor="text1"/>
        </w:rPr>
        <w:t>__________</w:t>
      </w:r>
    </w:p>
    <w:p w:rsidR="00371F02" w:rsidRDefault="00371F02" w:rsidP="00561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71F02" w:rsidSect="00CA5B77">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1F02" w:rsidRDefault="00575D15">
      <w:r>
        <w:separator/>
      </w:r>
    </w:p>
  </w:endnote>
  <w:endnote w:type="continuationSeparator" w:id="0">
    <w:p w:rsidR="00371F02" w:rsidRDefault="00575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B77" w:rsidRDefault="00575D15">
    <w:pPr>
      <w:pStyle w:val="Footer"/>
      <w:tabs>
        <w:tab w:val="clear" w:pos="4680"/>
        <w:tab w:val="clear" w:pos="9360"/>
        <w:tab w:val="center" w:pos="3168"/>
      </w:tabs>
      <w:spacing w:before="120"/>
    </w:pPr>
    <w:r>
      <w:tab/>
    </w:r>
    <w:r w:rsidR="008B45A2">
      <w:fldChar w:fldCharType="begin"/>
    </w:r>
    <w:r>
      <w:instrText xml:space="preserve"> PAGE  \* MERGEFORMAT </w:instrText>
    </w:r>
    <w:r w:rsidR="008B45A2">
      <w:fldChar w:fldCharType="separate"/>
    </w:r>
    <w:r w:rsidR="005615BF">
      <w:rPr>
        <w:noProof/>
      </w:rPr>
      <w:t>3</w:t>
    </w:r>
    <w:r w:rsidR="008B45A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B77" w:rsidRDefault="00C26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1F02" w:rsidRDefault="00575D15">
      <w:r>
        <w:separator/>
      </w:r>
    </w:p>
  </w:footnote>
  <w:footnote w:type="continuationSeparator" w:id="0">
    <w:p w:rsidR="00371F02" w:rsidRDefault="00575D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516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45"/>
    <w:docVar w:name="ActSecretary" w:val="Downey"/>
    <w:docVar w:name="ActSIdno" w:val="(328)  345AC09"/>
    <w:docVar w:name="clipname" w:val="345AC09"/>
    <w:docVar w:name="dvBillNumber" w:val="345"/>
    <w:docVar w:name="dvBillNumberPrefix" w:val="S"/>
    <w:docVar w:name="dvOriginalBody" w:val="Senate"/>
    <w:docVar w:name="OrigSENATEBillNo" w:val="345"/>
    <w:docVar w:name="SENATEACTFULLPATH" w:val="L:\COUNCIL\ACTS\345AC09.DOCX"/>
    <w:docVar w:name="WhatActtype" w:val="AN ACT"/>
  </w:docVars>
  <w:rsids>
    <w:rsidRoot w:val="00371F02"/>
    <w:rsid w:val="000672B2"/>
    <w:rsid w:val="001D71EC"/>
    <w:rsid w:val="00371F02"/>
    <w:rsid w:val="005454B1"/>
    <w:rsid w:val="005615BF"/>
    <w:rsid w:val="00575D15"/>
    <w:rsid w:val="005E7AC3"/>
    <w:rsid w:val="00620C68"/>
    <w:rsid w:val="008B45A2"/>
    <w:rsid w:val="00A31760"/>
    <w:rsid w:val="00B641CE"/>
    <w:rsid w:val="00C261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oNotEmbedSmartTags/>
  <w:decimalSymbol w:val="."/>
  <w:listSeparator w:val=","/>
  <w15:docId w15:val="{ECB56200-E6D0-45BA-9444-0FC5FCE2E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1F02"/>
    <w:pPr>
      <w:spacing w:before="0"/>
    </w:pPr>
  </w:style>
  <w:style w:type="paragraph" w:styleId="Heading1">
    <w:name w:val="heading 1"/>
    <w:basedOn w:val="Normal"/>
    <w:next w:val="Normal"/>
    <w:link w:val="Heading1Char"/>
    <w:uiPriority w:val="9"/>
    <w:qFormat/>
    <w:rsid w:val="00371F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71F02"/>
    <w:pPr>
      <w:tabs>
        <w:tab w:val="center" w:pos="4680"/>
        <w:tab w:val="right" w:pos="9360"/>
      </w:tabs>
    </w:pPr>
  </w:style>
  <w:style w:type="character" w:customStyle="1" w:styleId="HeaderChar">
    <w:name w:val="Header Char"/>
    <w:basedOn w:val="DefaultParagraphFont"/>
    <w:link w:val="Header"/>
    <w:uiPriority w:val="99"/>
    <w:semiHidden/>
    <w:rsid w:val="00371F02"/>
  </w:style>
  <w:style w:type="paragraph" w:styleId="Footer">
    <w:name w:val="footer"/>
    <w:basedOn w:val="Normal"/>
    <w:link w:val="FooterChar"/>
    <w:uiPriority w:val="99"/>
    <w:semiHidden/>
    <w:unhideWhenUsed/>
    <w:rsid w:val="00371F02"/>
    <w:pPr>
      <w:tabs>
        <w:tab w:val="center" w:pos="4680"/>
        <w:tab w:val="right" w:pos="9360"/>
      </w:tabs>
    </w:pPr>
  </w:style>
  <w:style w:type="character" w:customStyle="1" w:styleId="FooterChar">
    <w:name w:val="Footer Char"/>
    <w:basedOn w:val="DefaultParagraphFont"/>
    <w:link w:val="Footer"/>
    <w:uiPriority w:val="99"/>
    <w:semiHidden/>
    <w:rsid w:val="00371F02"/>
  </w:style>
  <w:style w:type="table" w:styleId="TableGrid">
    <w:name w:val="Table Grid"/>
    <w:basedOn w:val="TableNormal"/>
    <w:uiPriority w:val="59"/>
    <w:rsid w:val="00371F02"/>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71F0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067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3-11-09.docx" TargetMode="External"/><Relationship Id="rId13" Type="http://schemas.openxmlformats.org/officeDocument/2006/relationships/hyperlink" Target="file:///h:\HJ%20Archive\2009\03-26-09.docx" TargetMode="External"/><Relationship Id="rId18" Type="http://schemas.openxmlformats.org/officeDocument/2006/relationships/hyperlink" Target="file:///h:\HJ%20Archive\2009\05-13-09.docx" TargetMode="External"/><Relationship Id="rId26" Type="http://schemas.openxmlformats.org/officeDocument/2006/relationships/hyperlink" Target="file:///p:\pprever\2009-10\345_20090512.docx" TargetMode="External"/><Relationship Id="rId3" Type="http://schemas.openxmlformats.org/officeDocument/2006/relationships/webSettings" Target="webSettings.xml"/><Relationship Id="rId21" Type="http://schemas.openxmlformats.org/officeDocument/2006/relationships/hyperlink" Target="file:///h:\SJ%20Archive\2009\05-19-09.docx" TargetMode="External"/><Relationship Id="rId7" Type="http://schemas.openxmlformats.org/officeDocument/2006/relationships/hyperlink" Target="file:///h:\SJ%20Archive\2009\01-29-09.docx" TargetMode="External"/><Relationship Id="rId12" Type="http://schemas.openxmlformats.org/officeDocument/2006/relationships/hyperlink" Target="file:///h:\SJ%20Archive\2009\03-25-09.docx" TargetMode="External"/><Relationship Id="rId17" Type="http://schemas.openxmlformats.org/officeDocument/2006/relationships/hyperlink" Target="file:///h:\HJ%20Archive\2009\05-12-09.docx" TargetMode="External"/><Relationship Id="rId25" Type="http://schemas.openxmlformats.org/officeDocument/2006/relationships/hyperlink" Target="file:///p:\pprever\2009-10\345_20090318.docx" TargetMode="External"/><Relationship Id="rId2" Type="http://schemas.openxmlformats.org/officeDocument/2006/relationships/settings" Target="settings.xml"/><Relationship Id="rId16" Type="http://schemas.openxmlformats.org/officeDocument/2006/relationships/hyperlink" Target="file:///h:\HJ%20Archive\2009\03-31-09.docx" TargetMode="External"/><Relationship Id="rId20" Type="http://schemas.openxmlformats.org/officeDocument/2006/relationships/hyperlink" Target="file:///h:\HJ%20Archive\2009\05-14-09.docx"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09\01-29-09.docx" TargetMode="External"/><Relationship Id="rId11" Type="http://schemas.openxmlformats.org/officeDocument/2006/relationships/hyperlink" Target="file:///h:\SJ%20Archive\2009\03-24-09.docx" TargetMode="External"/><Relationship Id="rId24" Type="http://schemas.openxmlformats.org/officeDocument/2006/relationships/hyperlink" Target="file:///p:\pprever\2009-10\345_20090317.docx" TargetMode="External"/><Relationship Id="rId5" Type="http://schemas.openxmlformats.org/officeDocument/2006/relationships/endnotes" Target="endnotes.xml"/><Relationship Id="rId15" Type="http://schemas.openxmlformats.org/officeDocument/2006/relationships/hyperlink" Target="file:///h:\HJ%20Archive\2009\03-31-09.docx" TargetMode="External"/><Relationship Id="rId23" Type="http://schemas.openxmlformats.org/officeDocument/2006/relationships/hyperlink" Target="file:///p:\pprever\2009-10\345_20090311.docx" TargetMode="External"/><Relationship Id="rId28" Type="http://schemas.openxmlformats.org/officeDocument/2006/relationships/footer" Target="footer1.xml"/><Relationship Id="rId10" Type="http://schemas.openxmlformats.org/officeDocument/2006/relationships/hyperlink" Target="file:///h:\SJ%20Archive\2009\03-17-09.docx" TargetMode="External"/><Relationship Id="rId19" Type="http://schemas.openxmlformats.org/officeDocument/2006/relationships/hyperlink" Target="file:///h:\HJ%20Archive\2009\05-13-09.docx" TargetMode="Externa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09\03-17-09.docx" TargetMode="External"/><Relationship Id="rId14" Type="http://schemas.openxmlformats.org/officeDocument/2006/relationships/hyperlink" Target="file:///h:\HJ%20Archive\2009\03-26-09.docx" TargetMode="External"/><Relationship Id="rId22" Type="http://schemas.openxmlformats.org/officeDocument/2006/relationships/hyperlink" Target="file:///p:\pprever\2009-10\345_20090129.docx" TargetMode="External"/><Relationship Id="rId27" Type="http://schemas.openxmlformats.org/officeDocument/2006/relationships/hyperlink" Target="file:///p:\pprever\2009-10\345_20090513.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1216</Words>
  <Characters>6471</Characters>
  <Application>Microsoft Office Word</Application>
  <DocSecurity>0</DocSecurity>
  <Lines>188</Lines>
  <Paragraphs>71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345: Organ donors - South Carolina Legislature Online</dc:title>
  <dc:subject/>
  <dc:creator>NIKI DOWNEY</dc:creator>
  <cp:keywords/>
  <dc:description/>
  <cp:lastModifiedBy>N Cumfer</cp:lastModifiedBy>
  <cp:revision>6</cp:revision>
  <cp:lastPrinted>2009-05-19T21:46:00Z</cp:lastPrinted>
  <dcterms:created xsi:type="dcterms:W3CDTF">2009-08-04T14:57:00Z</dcterms:created>
  <dcterms:modified xsi:type="dcterms:W3CDTF">2014-11-24T14:58:00Z</dcterms:modified>
</cp:coreProperties>
</file>