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F3CF8">
        <w:rPr>
          <w:rFonts w:eastAsia="Times New Roman" w:cs="Times New Roman"/>
          <w:b/>
          <w:szCs w:val="20"/>
        </w:rPr>
        <w:t>South Carolina General Assembly</w:t>
      </w: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F3CF8">
        <w:rPr>
          <w:rFonts w:eastAsia="Times New Roman" w:cs="Times New Roman"/>
          <w:szCs w:val="20"/>
        </w:rPr>
        <w:t>118th Session, 2009-2010</w:t>
      </w: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CF8" w:rsidRPr="007F3CF8" w:rsidRDefault="00684225"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A226, R271, H3735</w:t>
      </w: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CF8">
        <w:rPr>
          <w:rFonts w:eastAsia="Times New Roman" w:cs="Times New Roman"/>
          <w:b/>
          <w:szCs w:val="20"/>
        </w:rPr>
        <w:t>STATUS INFORMATION</w:t>
      </w: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CF8">
        <w:rPr>
          <w:rFonts w:eastAsia="Times New Roman" w:cs="Times New Roman"/>
          <w:szCs w:val="20"/>
        </w:rPr>
        <w:t>General Bill</w:t>
      </w: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CF8">
        <w:rPr>
          <w:rFonts w:eastAsia="Times New Roman" w:cs="Times New Roman"/>
          <w:szCs w:val="20"/>
        </w:rPr>
        <w:t>Sponsors: Rep. Vick</w:t>
      </w: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CF8">
        <w:rPr>
          <w:rFonts w:eastAsia="Times New Roman" w:cs="Times New Roman"/>
          <w:szCs w:val="20"/>
        </w:rPr>
        <w:t>Document Path: l:\council\bills\nbd\11360ac09.docx</w:t>
      </w: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CF8">
        <w:rPr>
          <w:rFonts w:eastAsia="Times New Roman" w:cs="Times New Roman"/>
          <w:szCs w:val="20"/>
        </w:rPr>
        <w:t>Companion/Similar bill(s): 572</w:t>
      </w: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1990" w:rsidRDefault="005C1990"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24, 2009</w:t>
      </w:r>
    </w:p>
    <w:p w:rsidR="005C1990" w:rsidRDefault="005C1990"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2010</w:t>
      </w:r>
    </w:p>
    <w:p w:rsidR="005C1990" w:rsidRDefault="005C1990"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18, 2010</w:t>
      </w:r>
    </w:p>
    <w:p w:rsidR="005C1990" w:rsidRDefault="005C1990"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2010</w:t>
      </w:r>
    </w:p>
    <w:p w:rsidR="005C1990" w:rsidRDefault="005C1990"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2010, Signed</w:t>
      </w:r>
    </w:p>
    <w:p w:rsidR="005C1990" w:rsidRDefault="005C1990"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CF8">
        <w:rPr>
          <w:rFonts w:eastAsia="Times New Roman" w:cs="Times New Roman"/>
          <w:szCs w:val="20"/>
        </w:rPr>
        <w:t>Summary: Ann S. Perdue Independent Autopsy Fairness Act of 2009</w:t>
      </w: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CF8" w:rsidRPr="007F3CF8" w:rsidRDefault="007F3CF8" w:rsidP="007F3CF8">
      <w:pPr>
        <w:widowControl w:val="0"/>
        <w:tabs>
          <w:tab w:val="center" w:pos="590"/>
          <w:tab w:val="center" w:pos="1440"/>
          <w:tab w:val="left" w:pos="1872"/>
          <w:tab w:val="left" w:pos="9187"/>
        </w:tabs>
        <w:rPr>
          <w:rFonts w:eastAsia="Times New Roman" w:cs="Times New Roman"/>
          <w:szCs w:val="20"/>
        </w:rPr>
      </w:pPr>
      <w:r w:rsidRPr="007F3CF8">
        <w:rPr>
          <w:rFonts w:eastAsia="Times New Roman" w:cs="Times New Roman"/>
          <w:b/>
          <w:szCs w:val="20"/>
        </w:rPr>
        <w:t>HISTORY OF LEGISLATIVE ACTIONS</w:t>
      </w:r>
    </w:p>
    <w:p w:rsidR="007F3CF8" w:rsidRPr="007F3CF8" w:rsidRDefault="007F3CF8" w:rsidP="007F3CF8">
      <w:pPr>
        <w:widowControl w:val="0"/>
        <w:tabs>
          <w:tab w:val="center" w:pos="590"/>
          <w:tab w:val="center" w:pos="1440"/>
          <w:tab w:val="left" w:pos="1872"/>
          <w:tab w:val="left" w:pos="9187"/>
        </w:tabs>
        <w:rPr>
          <w:rFonts w:eastAsia="Times New Roman" w:cs="Times New Roman"/>
          <w:szCs w:val="20"/>
        </w:rPr>
      </w:pPr>
    </w:p>
    <w:p w:rsidR="007F3CF8" w:rsidRPr="007F3CF8" w:rsidRDefault="007F3CF8" w:rsidP="007F3CF8">
      <w:pPr>
        <w:widowControl w:val="0"/>
        <w:tabs>
          <w:tab w:val="center" w:pos="590"/>
          <w:tab w:val="center" w:pos="1440"/>
          <w:tab w:val="left" w:pos="1872"/>
          <w:tab w:val="left" w:pos="9187"/>
        </w:tabs>
        <w:rPr>
          <w:rFonts w:eastAsia="Times New Roman" w:cs="Times New Roman"/>
          <w:szCs w:val="20"/>
        </w:rPr>
      </w:pPr>
      <w:r w:rsidRPr="007F3CF8">
        <w:rPr>
          <w:rFonts w:eastAsia="Times New Roman" w:cs="Times New Roman"/>
          <w:szCs w:val="20"/>
          <w:u w:val="single"/>
        </w:rPr>
        <w:tab/>
        <w:t>Date</w:t>
      </w:r>
      <w:r w:rsidRPr="007F3CF8">
        <w:rPr>
          <w:rFonts w:eastAsia="Times New Roman" w:cs="Times New Roman"/>
          <w:szCs w:val="20"/>
          <w:u w:val="single"/>
        </w:rPr>
        <w:tab/>
        <w:t>Body</w:t>
      </w:r>
      <w:r w:rsidRPr="007F3CF8">
        <w:rPr>
          <w:rFonts w:eastAsia="Times New Roman" w:cs="Times New Roman"/>
          <w:szCs w:val="20"/>
          <w:u w:val="single"/>
        </w:rPr>
        <w:tab/>
        <w:t>Action Description with journal page number</w:t>
      </w:r>
      <w:r w:rsidRPr="007F3CF8">
        <w:rPr>
          <w:rFonts w:eastAsia="Times New Roman" w:cs="Times New Roman"/>
          <w:szCs w:val="20"/>
          <w:u w:val="single"/>
        </w:rPr>
        <w:tab/>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E62EAF">
        <w:rPr>
          <w:rFonts w:cs="Times New Roman"/>
        </w:rPr>
        <w:t xml:space="preserve">Introduced and read first time </w:t>
      </w:r>
      <w:hyperlink r:id="rId7" w:history="1">
        <w:r w:rsidRPr="007C3AED">
          <w:rPr>
            <w:rStyle w:val="Hyperlink"/>
            <w:rFonts w:cs="Times New Roman"/>
          </w:rPr>
          <w:t>HJ</w:t>
        </w:r>
      </w:hyperlink>
      <w:r>
        <w:rPr>
          <w:rFonts w:cs="Times New Roman"/>
        </w:rPr>
        <w:noBreakHyphen/>
      </w:r>
      <w:r w:rsidRPr="00E62EAF">
        <w:rPr>
          <w:rFonts w:cs="Times New Roman"/>
        </w:rPr>
        <w:t>17</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E62EAF">
        <w:rPr>
          <w:rFonts w:cs="Times New Roman"/>
        </w:rPr>
        <w:t xml:space="preserve">Referred to </w:t>
      </w:r>
      <w:r>
        <w:rPr>
          <w:rFonts w:cs="Times New Roman"/>
        </w:rPr>
        <w:t xml:space="preserve">Committee on </w:t>
      </w:r>
      <w:r w:rsidRPr="00E62EAF">
        <w:rPr>
          <w:rFonts w:cs="Times New Roman"/>
          <w:b/>
        </w:rPr>
        <w:t>Medical, Military, Public and Municipal Affairs</w:t>
      </w:r>
      <w:r w:rsidRPr="00E62EAF">
        <w:rPr>
          <w:rFonts w:cs="Times New Roman"/>
        </w:rPr>
        <w:t xml:space="preserve"> </w:t>
      </w:r>
      <w:hyperlink r:id="rId8" w:history="1">
        <w:r w:rsidRPr="007C3AED">
          <w:rPr>
            <w:rStyle w:val="Hyperlink"/>
            <w:rFonts w:cs="Times New Roman"/>
          </w:rPr>
          <w:t>HJ</w:t>
        </w:r>
      </w:hyperlink>
      <w:r>
        <w:rPr>
          <w:rFonts w:cs="Times New Roman"/>
        </w:rPr>
        <w:noBreakHyphen/>
      </w:r>
      <w:r w:rsidRPr="00E62EAF">
        <w:rPr>
          <w:rFonts w:cs="Times New Roman"/>
        </w:rPr>
        <w:t>17</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E62EAF">
        <w:rPr>
          <w:rFonts w:cs="Times New Roman"/>
        </w:rPr>
        <w:t>Committee r</w:t>
      </w:r>
      <w:r>
        <w:rPr>
          <w:rFonts w:cs="Times New Roman"/>
        </w:rPr>
        <w:t xml:space="preserve">eport: Favorable with amendment </w:t>
      </w:r>
      <w:r w:rsidRPr="00E62EAF">
        <w:rPr>
          <w:rFonts w:cs="Times New Roman"/>
          <w:b/>
        </w:rPr>
        <w:t>Medical, Military, Public and Municipal Affairs</w:t>
      </w:r>
      <w:r w:rsidRPr="00E62EAF">
        <w:rPr>
          <w:rFonts w:cs="Times New Roman"/>
        </w:rPr>
        <w:t xml:space="preserve"> </w:t>
      </w:r>
      <w:hyperlink r:id="rId9" w:history="1">
        <w:r w:rsidRPr="007C3AED">
          <w:rPr>
            <w:rStyle w:val="Hyperlink"/>
            <w:rFonts w:cs="Times New Roman"/>
          </w:rPr>
          <w:t>HJ</w:t>
        </w:r>
      </w:hyperlink>
      <w:r>
        <w:rPr>
          <w:rFonts w:cs="Times New Roman"/>
        </w:rPr>
        <w:noBreakHyphen/>
      </w:r>
      <w:r w:rsidRPr="00E62EAF">
        <w:rPr>
          <w:rFonts w:cs="Times New Roman"/>
        </w:rPr>
        <w:t>8</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2/8/2010</w:t>
      </w:r>
      <w:r>
        <w:rPr>
          <w:rFonts w:cs="Times New Roman"/>
        </w:rPr>
        <w:tab/>
      </w:r>
      <w:r>
        <w:rPr>
          <w:rFonts w:cs="Times New Roman"/>
        </w:rPr>
        <w:tab/>
      </w:r>
      <w:r w:rsidRPr="00E62EAF">
        <w:rPr>
          <w:rFonts w:cs="Times New Roman"/>
        </w:rPr>
        <w:t>Scrivener's error corrected</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E62EAF">
        <w:rPr>
          <w:rFonts w:cs="Times New Roman"/>
        </w:rPr>
        <w:t xml:space="preserve">Amended </w:t>
      </w:r>
      <w:hyperlink r:id="rId10" w:history="1">
        <w:r w:rsidRPr="007C3AED">
          <w:rPr>
            <w:rStyle w:val="Hyperlink"/>
            <w:rFonts w:cs="Times New Roman"/>
          </w:rPr>
          <w:t>HJ</w:t>
        </w:r>
      </w:hyperlink>
      <w:r>
        <w:rPr>
          <w:rFonts w:cs="Times New Roman"/>
        </w:rPr>
        <w:noBreakHyphen/>
      </w:r>
      <w:r w:rsidRPr="00E62EAF">
        <w:rPr>
          <w:rFonts w:cs="Times New Roman"/>
        </w:rPr>
        <w:t>217</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E62EAF">
        <w:rPr>
          <w:rFonts w:cs="Times New Roman"/>
        </w:rPr>
        <w:t xml:space="preserve">Read second time </w:t>
      </w:r>
      <w:hyperlink r:id="rId11" w:history="1">
        <w:r w:rsidRPr="007C3AED">
          <w:rPr>
            <w:rStyle w:val="Hyperlink"/>
            <w:rFonts w:cs="Times New Roman"/>
          </w:rPr>
          <w:t>HJ</w:t>
        </w:r>
      </w:hyperlink>
      <w:r>
        <w:rPr>
          <w:rFonts w:cs="Times New Roman"/>
        </w:rPr>
        <w:noBreakHyphen/>
      </w:r>
      <w:r w:rsidRPr="00E62EAF">
        <w:rPr>
          <w:rFonts w:cs="Times New Roman"/>
        </w:rPr>
        <w:t>219</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E62EAF">
        <w:rPr>
          <w:rFonts w:cs="Times New Roman"/>
        </w:rPr>
        <w:t xml:space="preserve">Read third time and sent to Senate </w:t>
      </w:r>
      <w:hyperlink r:id="rId12" w:history="1">
        <w:r w:rsidRPr="007C3AED">
          <w:rPr>
            <w:rStyle w:val="Hyperlink"/>
            <w:rFonts w:cs="Times New Roman"/>
          </w:rPr>
          <w:t>HJ</w:t>
        </w:r>
      </w:hyperlink>
      <w:r>
        <w:rPr>
          <w:rFonts w:cs="Times New Roman"/>
        </w:rPr>
        <w:noBreakHyphen/>
      </w:r>
      <w:r w:rsidRPr="00E62EAF">
        <w:rPr>
          <w:rFonts w:cs="Times New Roman"/>
        </w:rPr>
        <w:t>20</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E62EAF">
        <w:rPr>
          <w:rFonts w:cs="Times New Roman"/>
        </w:rPr>
        <w:t xml:space="preserve">Introduced and read first time </w:t>
      </w:r>
      <w:hyperlink r:id="rId13" w:history="1">
        <w:r w:rsidRPr="007C3AED">
          <w:rPr>
            <w:rStyle w:val="Hyperlink"/>
            <w:rFonts w:cs="Times New Roman"/>
          </w:rPr>
          <w:t>SJ</w:t>
        </w:r>
      </w:hyperlink>
      <w:r>
        <w:rPr>
          <w:rFonts w:cs="Times New Roman"/>
        </w:rPr>
        <w:noBreakHyphen/>
      </w:r>
      <w:r w:rsidRPr="00E62EAF">
        <w:rPr>
          <w:rFonts w:cs="Times New Roman"/>
        </w:rPr>
        <w:t>12</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E62EAF">
        <w:rPr>
          <w:rFonts w:cs="Times New Roman"/>
        </w:rPr>
        <w:t xml:space="preserve">Referred to Committee on </w:t>
      </w:r>
      <w:r w:rsidRPr="00E62EAF">
        <w:rPr>
          <w:rFonts w:cs="Times New Roman"/>
          <w:b/>
        </w:rPr>
        <w:t>Medical Affairs</w:t>
      </w:r>
      <w:r w:rsidRPr="00E62EAF">
        <w:rPr>
          <w:rFonts w:cs="Times New Roman"/>
        </w:rPr>
        <w:t xml:space="preserve"> </w:t>
      </w:r>
      <w:hyperlink r:id="rId14" w:history="1">
        <w:r w:rsidRPr="007C3AED">
          <w:rPr>
            <w:rStyle w:val="Hyperlink"/>
            <w:rFonts w:cs="Times New Roman"/>
          </w:rPr>
          <w:t>SJ</w:t>
        </w:r>
      </w:hyperlink>
      <w:r>
        <w:rPr>
          <w:rFonts w:cs="Times New Roman"/>
        </w:rPr>
        <w:noBreakHyphen/>
      </w:r>
      <w:r w:rsidRPr="00E62EAF">
        <w:rPr>
          <w:rFonts w:cs="Times New Roman"/>
        </w:rPr>
        <w:t>12</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E62EAF">
        <w:rPr>
          <w:rFonts w:cs="Times New Roman"/>
        </w:rPr>
        <w:t xml:space="preserve">Committee report: Favorable </w:t>
      </w:r>
      <w:r w:rsidRPr="00E62EAF">
        <w:rPr>
          <w:rFonts w:cs="Times New Roman"/>
          <w:b/>
        </w:rPr>
        <w:t>Medical Affairs</w:t>
      </w:r>
      <w:r w:rsidRPr="00E62EAF">
        <w:rPr>
          <w:rFonts w:cs="Times New Roman"/>
        </w:rPr>
        <w:t xml:space="preserve"> </w:t>
      </w:r>
      <w:hyperlink r:id="rId15" w:history="1">
        <w:r w:rsidRPr="007C3AED">
          <w:rPr>
            <w:rStyle w:val="Hyperlink"/>
            <w:rFonts w:cs="Times New Roman"/>
          </w:rPr>
          <w:t>SJ</w:t>
        </w:r>
      </w:hyperlink>
      <w:r>
        <w:rPr>
          <w:rFonts w:cs="Times New Roman"/>
        </w:rPr>
        <w:noBreakHyphen/>
      </w:r>
      <w:r w:rsidRPr="00E62EAF">
        <w:rPr>
          <w:rFonts w:cs="Times New Roman"/>
        </w:rPr>
        <w:t>19</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E62EAF">
        <w:rPr>
          <w:rFonts w:cs="Times New Roman"/>
        </w:rPr>
        <w:t xml:space="preserve">Read second time </w:t>
      </w:r>
      <w:hyperlink r:id="rId16" w:history="1">
        <w:r w:rsidRPr="007C3AED">
          <w:rPr>
            <w:rStyle w:val="Hyperlink"/>
            <w:rFonts w:cs="Times New Roman"/>
          </w:rPr>
          <w:t>SJ</w:t>
        </w:r>
      </w:hyperlink>
      <w:r>
        <w:rPr>
          <w:rFonts w:cs="Times New Roman"/>
        </w:rPr>
        <w:noBreakHyphen/>
      </w:r>
      <w:r w:rsidRPr="00E62EAF">
        <w:rPr>
          <w:rFonts w:cs="Times New Roman"/>
        </w:rPr>
        <w:t>19</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E62EAF">
        <w:rPr>
          <w:rFonts w:cs="Times New Roman"/>
        </w:rPr>
        <w:t xml:space="preserve">Amended </w:t>
      </w:r>
      <w:hyperlink r:id="rId17" w:history="1">
        <w:r w:rsidRPr="007C3AED">
          <w:rPr>
            <w:rStyle w:val="Hyperlink"/>
            <w:rFonts w:cs="Times New Roman"/>
          </w:rPr>
          <w:t>SJ</w:t>
        </w:r>
      </w:hyperlink>
      <w:r>
        <w:rPr>
          <w:rFonts w:cs="Times New Roman"/>
        </w:rPr>
        <w:noBreakHyphen/>
      </w:r>
      <w:r w:rsidRPr="00E62EAF">
        <w:rPr>
          <w:rFonts w:cs="Times New Roman"/>
        </w:rPr>
        <w:t>14</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E62EAF">
        <w:rPr>
          <w:rFonts w:cs="Times New Roman"/>
        </w:rPr>
        <w:t xml:space="preserve">Read third </w:t>
      </w:r>
      <w:r>
        <w:rPr>
          <w:rFonts w:cs="Times New Roman"/>
        </w:rPr>
        <w:t xml:space="preserve">time and returned to House with </w:t>
      </w:r>
      <w:r w:rsidRPr="00E62EAF">
        <w:rPr>
          <w:rFonts w:cs="Times New Roman"/>
        </w:rPr>
        <w:t xml:space="preserve">amendments </w:t>
      </w:r>
      <w:hyperlink r:id="rId18" w:history="1">
        <w:r w:rsidRPr="007C3AED">
          <w:rPr>
            <w:rStyle w:val="Hyperlink"/>
            <w:rFonts w:cs="Times New Roman"/>
          </w:rPr>
          <w:t>SJ</w:t>
        </w:r>
      </w:hyperlink>
      <w:r>
        <w:rPr>
          <w:rFonts w:cs="Times New Roman"/>
        </w:rPr>
        <w:noBreakHyphen/>
      </w:r>
      <w:r w:rsidRPr="00E62EAF">
        <w:rPr>
          <w:rFonts w:cs="Times New Roman"/>
        </w:rPr>
        <w:t>14</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E62EAF">
        <w:rPr>
          <w:rFonts w:cs="Times New Roman"/>
        </w:rPr>
        <w:t xml:space="preserve">Debate adjourned on amendments </w:t>
      </w:r>
      <w:hyperlink r:id="rId19" w:history="1">
        <w:r w:rsidRPr="007C3AED">
          <w:rPr>
            <w:rStyle w:val="Hyperlink"/>
            <w:rFonts w:cs="Times New Roman"/>
          </w:rPr>
          <w:t>HJ</w:t>
        </w:r>
      </w:hyperlink>
      <w:r>
        <w:rPr>
          <w:rFonts w:cs="Times New Roman"/>
        </w:rPr>
        <w:noBreakHyphen/>
      </w:r>
      <w:r w:rsidRPr="00E62EAF">
        <w:rPr>
          <w:rFonts w:cs="Times New Roman"/>
        </w:rPr>
        <w:t>6</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E62EAF">
        <w:rPr>
          <w:rFonts w:cs="Times New Roman"/>
        </w:rPr>
        <w:t xml:space="preserve">Concurred in Senate amendment and enrolled </w:t>
      </w:r>
      <w:hyperlink r:id="rId20" w:history="1">
        <w:r w:rsidRPr="007C3AED">
          <w:rPr>
            <w:rStyle w:val="Hyperlink"/>
            <w:rFonts w:cs="Times New Roman"/>
          </w:rPr>
          <w:t>HJ</w:t>
        </w:r>
      </w:hyperlink>
      <w:r>
        <w:rPr>
          <w:rFonts w:cs="Times New Roman"/>
        </w:rPr>
        <w:noBreakHyphen/>
      </w:r>
      <w:r w:rsidRPr="00E62EAF">
        <w:rPr>
          <w:rFonts w:cs="Times New Roman"/>
        </w:rPr>
        <w:t>111</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E62EAF">
        <w:rPr>
          <w:rFonts w:cs="Times New Roman"/>
        </w:rPr>
        <w:t>Roll call Yeas</w:t>
      </w:r>
      <w:r>
        <w:rPr>
          <w:rFonts w:cs="Times New Roman"/>
        </w:rPr>
        <w:noBreakHyphen/>
      </w:r>
      <w:r w:rsidRPr="00E62EAF">
        <w:rPr>
          <w:rFonts w:cs="Times New Roman"/>
        </w:rPr>
        <w:t>95  Nays</w:t>
      </w:r>
      <w:r>
        <w:rPr>
          <w:rFonts w:cs="Times New Roman"/>
        </w:rPr>
        <w:noBreakHyphen/>
      </w:r>
      <w:r w:rsidRPr="00E62EAF">
        <w:rPr>
          <w:rFonts w:cs="Times New Roman"/>
        </w:rPr>
        <w:t xml:space="preserve">6 </w:t>
      </w:r>
      <w:hyperlink r:id="rId21" w:history="1">
        <w:r w:rsidRPr="007C3AED">
          <w:rPr>
            <w:rStyle w:val="Hyperlink"/>
            <w:rFonts w:cs="Times New Roman"/>
          </w:rPr>
          <w:t>HJ</w:t>
        </w:r>
      </w:hyperlink>
      <w:r>
        <w:rPr>
          <w:rFonts w:cs="Times New Roman"/>
        </w:rPr>
        <w:noBreakHyphen/>
      </w:r>
      <w:r w:rsidRPr="00E62EAF">
        <w:rPr>
          <w:rFonts w:cs="Times New Roman"/>
        </w:rPr>
        <w:t>111</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E62EAF">
        <w:rPr>
          <w:rFonts w:cs="Times New Roman"/>
        </w:rPr>
        <w:t>Ratified R 271</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E62EAF">
        <w:rPr>
          <w:rFonts w:cs="Times New Roman"/>
        </w:rPr>
        <w:t>Signed By Governor</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E62EAF">
        <w:rPr>
          <w:rFonts w:cs="Times New Roman"/>
        </w:rPr>
        <w:t>Effective date 07/01/10</w:t>
      </w:r>
    </w:p>
    <w:p w:rsidR="00684225" w:rsidRDefault="00684225" w:rsidP="00684225">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E62EAF">
        <w:rPr>
          <w:rFonts w:cs="Times New Roman"/>
        </w:rPr>
        <w:t>Act No</w:t>
      </w:r>
      <w:r>
        <w:rPr>
          <w:rFonts w:cs="Times New Roman"/>
        </w:rPr>
        <w:t>. </w:t>
      </w:r>
      <w:r w:rsidRPr="00E62EAF">
        <w:rPr>
          <w:rFonts w:cs="Times New Roman"/>
        </w:rPr>
        <w:t>226</w:t>
      </w:r>
    </w:p>
    <w:p w:rsidR="00684225" w:rsidRDefault="00684225" w:rsidP="00684225">
      <w:pPr>
        <w:widowControl w:val="0"/>
        <w:tabs>
          <w:tab w:val="right" w:pos="1008"/>
          <w:tab w:val="left" w:pos="1152"/>
          <w:tab w:val="left" w:pos="1872"/>
          <w:tab w:val="left" w:pos="9187"/>
        </w:tabs>
        <w:ind w:left="2088" w:hanging="2088"/>
        <w:rPr>
          <w:rFonts w:cs="Times New Roman"/>
        </w:rPr>
      </w:pPr>
    </w:p>
    <w:p w:rsidR="007F3CF8" w:rsidRPr="007F3CF8" w:rsidRDefault="007F3CF8" w:rsidP="007F3CF8">
      <w:pPr>
        <w:widowControl w:val="0"/>
        <w:tabs>
          <w:tab w:val="right" w:pos="1008"/>
          <w:tab w:val="left" w:pos="1152"/>
          <w:tab w:val="left" w:pos="1872"/>
          <w:tab w:val="left" w:pos="9187"/>
        </w:tabs>
        <w:ind w:left="2088" w:hanging="2088"/>
        <w:rPr>
          <w:rFonts w:eastAsia="Times New Roman" w:cs="Times New Roman"/>
          <w:szCs w:val="20"/>
        </w:rPr>
      </w:pP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3CF8">
        <w:rPr>
          <w:rFonts w:eastAsia="Times New Roman" w:cs="Times New Roman"/>
          <w:b/>
          <w:szCs w:val="20"/>
        </w:rPr>
        <w:t>VERSIONS OF THIS BILL</w:t>
      </w:r>
    </w:p>
    <w:p w:rsidR="007F3CF8" w:rsidRPr="007F3CF8" w:rsidRDefault="007F3CF8"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3CF8" w:rsidRPr="007F3CF8" w:rsidRDefault="00401385" w:rsidP="007F3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7F3CF8" w:rsidRPr="007F3CF8">
          <w:rPr>
            <w:rFonts w:eastAsia="Times New Roman" w:cs="Times New Roman"/>
            <w:color w:val="0000FF" w:themeColor="hyperlink"/>
            <w:szCs w:val="20"/>
            <w:u w:val="single"/>
          </w:rPr>
          <w:t>3/24/2009</w:t>
        </w:r>
      </w:hyperlink>
    </w:p>
    <w:p w:rsidR="007F3CF8" w:rsidRPr="007F3CF8" w:rsidRDefault="00401385" w:rsidP="007F3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F3CF8" w:rsidRPr="007F3CF8">
          <w:rPr>
            <w:rFonts w:eastAsia="Times New Roman" w:cs="Times New Roman"/>
            <w:color w:val="0000FF" w:themeColor="hyperlink"/>
            <w:szCs w:val="20"/>
            <w:u w:val="single"/>
          </w:rPr>
          <w:t>2/4/2010</w:t>
        </w:r>
      </w:hyperlink>
    </w:p>
    <w:p w:rsidR="007F3CF8" w:rsidRPr="007F3CF8" w:rsidRDefault="00401385" w:rsidP="007F3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F3CF8" w:rsidRPr="007F3CF8">
          <w:rPr>
            <w:rFonts w:eastAsia="Times New Roman" w:cs="Times New Roman"/>
            <w:color w:val="0000FF" w:themeColor="hyperlink"/>
            <w:szCs w:val="20"/>
            <w:u w:val="single"/>
          </w:rPr>
          <w:t>2/8/2010</w:t>
        </w:r>
      </w:hyperlink>
    </w:p>
    <w:p w:rsidR="007F3CF8" w:rsidRPr="007F3CF8" w:rsidRDefault="00401385" w:rsidP="007F3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F3CF8" w:rsidRPr="007F3CF8">
          <w:rPr>
            <w:rFonts w:eastAsia="Times New Roman" w:cs="Times New Roman"/>
            <w:color w:val="0000FF" w:themeColor="hyperlink"/>
            <w:szCs w:val="20"/>
            <w:u w:val="single"/>
          </w:rPr>
          <w:t>2/17/2010</w:t>
        </w:r>
      </w:hyperlink>
    </w:p>
    <w:p w:rsidR="007F3CF8" w:rsidRPr="007F3CF8" w:rsidRDefault="00401385" w:rsidP="007F3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F3CF8" w:rsidRPr="007F3CF8">
          <w:rPr>
            <w:rFonts w:eastAsia="Times New Roman" w:cs="Times New Roman"/>
            <w:color w:val="0000FF" w:themeColor="hyperlink"/>
            <w:szCs w:val="20"/>
            <w:u w:val="single"/>
          </w:rPr>
          <w:t>4/22/2010</w:t>
        </w:r>
      </w:hyperlink>
    </w:p>
    <w:p w:rsidR="007F3CF8" w:rsidRPr="007F3CF8" w:rsidRDefault="00401385" w:rsidP="007F3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F3CF8" w:rsidRPr="007F3CF8">
          <w:rPr>
            <w:rFonts w:eastAsia="Times New Roman" w:cs="Times New Roman"/>
            <w:color w:val="0000FF" w:themeColor="hyperlink"/>
            <w:szCs w:val="20"/>
            <w:u w:val="single"/>
          </w:rPr>
          <w:t>5/18/2010</w:t>
        </w:r>
      </w:hyperlink>
    </w:p>
    <w:p w:rsidR="007F3CF8" w:rsidRPr="007F3CF8" w:rsidRDefault="007F3CF8" w:rsidP="007F3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F3CF8" w:rsidRDefault="007F3CF8" w:rsidP="007F3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F3CF8" w:rsidSect="007F3CF8">
          <w:pgSz w:w="12240" w:h="15840" w:code="1"/>
          <w:pgMar w:top="1080" w:right="1440" w:bottom="1080" w:left="1440" w:header="720" w:footer="720" w:gutter="0"/>
          <w:pgNumType w:start="1"/>
          <w:cols w:space="720"/>
          <w:noEndnote/>
          <w:docGrid w:linePitch="360"/>
        </w:sectPr>
      </w:pPr>
    </w:p>
    <w:p w:rsidR="00ED6773"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(A226, R271, H3735)</w:t>
      </w:r>
    </w:p>
    <w:p w:rsidR="00ED6773" w:rsidRPr="008836A5"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D6773" w:rsidRPr="007F3CF8"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F3CF8">
        <w:rPr>
          <w:rFonts w:cs="Times New Roman"/>
          <w:b/>
          <w:color w:val="000000" w:themeColor="text1"/>
          <w:szCs w:val="36"/>
        </w:rPr>
        <w:t xml:space="preserve">AN ACT </w:t>
      </w:r>
      <w:r w:rsidRPr="007F3CF8">
        <w:rPr>
          <w:rFonts w:cs="Times New Roman"/>
          <w:b/>
        </w:rPr>
        <w:t>TO AMEND THE CODE OF LAWS OF SOUTH CAROLINA, 1976, TO ENACT THE “ANN S. PERDUE INDEPENDEN</w:t>
      </w:r>
      <w:r>
        <w:rPr>
          <w:rFonts w:cs="Times New Roman"/>
          <w:b/>
        </w:rPr>
        <w:t>T AUTOPSY FAIRNESS ACT OF 2010”</w:t>
      </w:r>
      <w:r w:rsidRPr="007F3CF8">
        <w:rPr>
          <w:rFonts w:cs="Times New Roman"/>
          <w:b/>
        </w:rPr>
        <w:t xml:space="preserve"> BY ADDING SECTION 44</w:t>
      </w:r>
      <w:r w:rsidRPr="007F3CF8">
        <w:rPr>
          <w:rFonts w:cs="Times New Roman"/>
          <w:b/>
        </w:rPr>
        <w:noBreakHyphen/>
        <w:t>43</w:t>
      </w:r>
      <w:r w:rsidRPr="007F3CF8">
        <w:rPr>
          <w:rFonts w:cs="Times New Roman"/>
          <w:b/>
        </w:rPr>
        <w:noBreakHyphen/>
        <w:t>730 SO AS TO PROVIDE THAT IF A PERSON DIES IN A HOSPITAL OR HEALTH CARE FACILITY WHERE INVASIVE PROCEDURES ARE PERFORMED, THE PERSON AUTHORIZED TO CONSENT HAS THE RIGHT TO HAVE AN AUTOPSY PERFORMED; THE HOSPITAL OR HEALTH CARE FACILITY SHALL INFORM IN WRITING THE PERSON AUTHORIZED TO CONSENT OF THE RIGHT TO HAVE AN AUTOPSY PERFORMED AND THAT IT MUST BE PAID FOR BY A PRIVATE SOURCE; AND TO AMEND SECTION 17</w:t>
      </w:r>
      <w:r w:rsidRPr="007F3CF8">
        <w:rPr>
          <w:rFonts w:cs="Times New Roman"/>
          <w:b/>
        </w:rPr>
        <w:noBreakHyphen/>
        <w:t>5</w:t>
      </w:r>
      <w:r w:rsidRPr="007F3CF8">
        <w:rPr>
          <w:rFonts w:cs="Times New Roman"/>
          <w:b/>
        </w:rPr>
        <w:noBreakHyphen/>
        <w:t>530, RELATING TO CIRCUMSTANCES REQUIRING THE CORONER OR MEDICAL EXAMINER TO BE NOTIFIED OF CERTAIN DEATHS, SO AS TO REQUIRE SUCH NOTIFICATION WHEN A PERSON DIES IN A HEALTH CARE FACILITY, OTHER THAN A NURSING HOME, WITHIN TWENTY</w:t>
      </w:r>
      <w:r>
        <w:rPr>
          <w:rFonts w:cs="Times New Roman"/>
          <w:b/>
        </w:rPr>
        <w:t>-</w:t>
      </w:r>
      <w:r w:rsidRPr="007F3CF8">
        <w:rPr>
          <w:rFonts w:cs="Times New Roman"/>
          <w:b/>
        </w:rPr>
        <w:t>FOUR HOURS OF ENTERING THE HEALTH CARE FACILITY OR WITHIN TWENTY</w:t>
      </w:r>
      <w:r w:rsidRPr="007F3CF8">
        <w:rPr>
          <w:rFonts w:cs="Times New Roman"/>
          <w:b/>
        </w:rPr>
        <w:noBreakHyphen/>
        <w:t>FOUR HOURS OF HAVING AN INVASIVE SURGICAL PROCEDURE PERFORMED AT THE HEALTH CARE FACILITY, AND TO PROVIDE THAT THE AUTOPSY  MUST NOT BE PERFORMED AT THE HEALTH CARE FACILITY OR BY A PHYSICIAN AT THE HEALTH CARE FACILITY.</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D6773"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4CB6">
        <w:rPr>
          <w:rFonts w:cs="Times New Roman"/>
        </w:rPr>
        <w:t>Be it enacted by the General Assembly of the State of South Carolina:</w:t>
      </w:r>
    </w:p>
    <w:p w:rsidR="00ED6773"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773" w:rsidRPr="00F918E2"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Act citation</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773"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SECTION</w:t>
      </w:r>
      <w:r w:rsidRPr="001C4CB6">
        <w:rPr>
          <w:rFonts w:cs="Times New Roman"/>
          <w:u w:color="000000" w:themeColor="text1"/>
        </w:rPr>
        <w:tab/>
        <w:t>1.</w:t>
      </w:r>
      <w:r w:rsidRPr="001C4CB6">
        <w:rPr>
          <w:rFonts w:cs="Times New Roman"/>
          <w:u w:color="000000" w:themeColor="text1"/>
        </w:rPr>
        <w:tab/>
        <w:t>This act may be cited as the “Ann S. Perdue Independent Autopsy Fairness Act of 2010”.</w:t>
      </w:r>
    </w:p>
    <w:p w:rsidR="00ED6773"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6773" w:rsidRPr="00F918E2"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 xml:space="preserve">Right to have an autopsy performed; payment for autopsy of person who died in a health care facility </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SECTION</w:t>
      </w:r>
      <w:r w:rsidRPr="001C4CB6">
        <w:rPr>
          <w:rFonts w:cs="Times New Roman"/>
          <w:u w:color="000000" w:themeColor="text1"/>
        </w:rPr>
        <w:tab/>
        <w:t>2.</w:t>
      </w:r>
      <w:r w:rsidRPr="001C4CB6">
        <w:rPr>
          <w:rFonts w:cs="Times New Roman"/>
          <w:u w:color="000000" w:themeColor="text1"/>
        </w:rPr>
        <w:tab/>
        <w:t>Article 9, Chapter 43, Title 44 of the 1976 Code is amended by adding:</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6773"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t>“Section 44</w:t>
      </w:r>
      <w:r>
        <w:rPr>
          <w:rFonts w:cs="Times New Roman"/>
          <w:u w:color="000000" w:themeColor="text1"/>
        </w:rPr>
        <w:noBreakHyphen/>
      </w:r>
      <w:r w:rsidRPr="001C4CB6">
        <w:rPr>
          <w:rFonts w:cs="Times New Roman"/>
          <w:u w:color="000000" w:themeColor="text1"/>
        </w:rPr>
        <w:t>43</w:t>
      </w:r>
      <w:r>
        <w:rPr>
          <w:rFonts w:cs="Times New Roman"/>
          <w:u w:color="000000" w:themeColor="text1"/>
        </w:rPr>
        <w:noBreakHyphen/>
      </w:r>
      <w:r w:rsidRPr="001C4CB6">
        <w:rPr>
          <w:rFonts w:cs="Times New Roman"/>
          <w:u w:color="000000" w:themeColor="text1"/>
        </w:rPr>
        <w:t>730.</w:t>
      </w:r>
      <w:r w:rsidRPr="001C4CB6">
        <w:rPr>
          <w:rFonts w:cs="Times New Roman"/>
          <w:u w:color="000000" w:themeColor="text1"/>
        </w:rPr>
        <w:tab/>
      </w:r>
      <w:r w:rsidRPr="001C4CB6">
        <w:rPr>
          <w:rFonts w:cs="Times New Roman"/>
          <w:u w:color="000000" w:themeColor="text1"/>
        </w:rPr>
        <w:tab/>
        <w:t>If a patient dies in a hospital or a health care facility where invasive surgical procedures are performed, the person authorized to consent, as determined in accordance with Section 44</w:t>
      </w:r>
      <w:r>
        <w:rPr>
          <w:rFonts w:cs="Times New Roman"/>
          <w:u w:color="000000" w:themeColor="text1"/>
        </w:rPr>
        <w:noBreakHyphen/>
      </w:r>
      <w:r w:rsidRPr="001C4CB6">
        <w:rPr>
          <w:rFonts w:cs="Times New Roman"/>
          <w:u w:color="000000" w:themeColor="text1"/>
        </w:rPr>
        <w:t>43</w:t>
      </w:r>
      <w:r>
        <w:rPr>
          <w:rFonts w:cs="Times New Roman"/>
          <w:u w:color="000000" w:themeColor="text1"/>
        </w:rPr>
        <w:noBreakHyphen/>
      </w:r>
      <w:r w:rsidRPr="001C4CB6">
        <w:rPr>
          <w:rFonts w:cs="Times New Roman"/>
          <w:u w:color="000000" w:themeColor="text1"/>
        </w:rPr>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ED6773"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6773" w:rsidRPr="004462A5"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Circumstances requiring notice of death to coroner or medical examiner; persons who may not perform autopsy</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6773"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SECTION</w:t>
      </w:r>
      <w:r w:rsidRPr="001C4CB6">
        <w:rPr>
          <w:rFonts w:cs="Times New Roman"/>
          <w:u w:color="000000" w:themeColor="text1"/>
        </w:rPr>
        <w:tab/>
        <w:t>3.</w:t>
      </w:r>
      <w:r w:rsidRPr="001C4CB6">
        <w:rPr>
          <w:rFonts w:cs="Times New Roman"/>
          <w:u w:color="000000" w:themeColor="text1"/>
        </w:rPr>
        <w:tab/>
        <w:t>Section 17</w:t>
      </w:r>
      <w:r>
        <w:rPr>
          <w:rFonts w:cs="Times New Roman"/>
          <w:u w:color="000000" w:themeColor="text1"/>
        </w:rPr>
        <w:noBreakHyphen/>
      </w:r>
      <w:r w:rsidRPr="001C4CB6">
        <w:rPr>
          <w:rFonts w:cs="Times New Roman"/>
          <w:u w:color="000000" w:themeColor="text1"/>
        </w:rPr>
        <w:t>5</w:t>
      </w:r>
      <w:r>
        <w:rPr>
          <w:rFonts w:cs="Times New Roman"/>
          <w:u w:color="000000" w:themeColor="text1"/>
        </w:rPr>
        <w:noBreakHyphen/>
      </w:r>
      <w:r w:rsidRPr="001C4CB6">
        <w:rPr>
          <w:rFonts w:cs="Times New Roman"/>
          <w:u w:color="000000" w:themeColor="text1"/>
        </w:rPr>
        <w:t>530 of the 1976 Code, is amended to read:</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t>“Section 17</w:t>
      </w:r>
      <w:r>
        <w:rPr>
          <w:rFonts w:cs="Times New Roman"/>
          <w:u w:color="000000" w:themeColor="text1"/>
        </w:rPr>
        <w:noBreakHyphen/>
      </w:r>
      <w:r w:rsidRPr="001C4CB6">
        <w:rPr>
          <w:rFonts w:cs="Times New Roman"/>
          <w:u w:color="000000" w:themeColor="text1"/>
        </w:rPr>
        <w:t>5</w:t>
      </w:r>
      <w:r>
        <w:rPr>
          <w:rFonts w:cs="Times New Roman"/>
          <w:u w:color="000000" w:themeColor="text1"/>
        </w:rPr>
        <w:noBreakHyphen/>
        <w:t>530.</w:t>
      </w:r>
      <w:r>
        <w:rPr>
          <w:rFonts w:cs="Times New Roman"/>
          <w:u w:color="000000" w:themeColor="text1"/>
        </w:rPr>
        <w:tab/>
      </w:r>
      <w:r w:rsidRPr="001C4CB6">
        <w:rPr>
          <w:rFonts w:cs="Times New Roman"/>
          <w:u w:color="000000" w:themeColor="text1"/>
        </w:rPr>
        <w:t>(A)</w:t>
      </w:r>
      <w:r w:rsidRPr="001C4CB6">
        <w:rPr>
          <w:rFonts w:cs="Times New Roman"/>
          <w:u w:color="000000" w:themeColor="text1"/>
        </w:rPr>
        <w:tab/>
        <w:t>If a person dies:</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r>
      <w:r w:rsidRPr="001C4CB6">
        <w:rPr>
          <w:rFonts w:cs="Times New Roman"/>
          <w:u w:color="000000" w:themeColor="text1"/>
        </w:rPr>
        <w:tab/>
        <w:t>(1)</w:t>
      </w:r>
      <w:r w:rsidRPr="001C4CB6">
        <w:rPr>
          <w:rFonts w:cs="Times New Roman"/>
          <w:u w:color="000000" w:themeColor="text1"/>
        </w:rPr>
        <w:tab/>
        <w:t>as a result of violence;</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r>
      <w:r w:rsidRPr="001C4CB6">
        <w:rPr>
          <w:rFonts w:cs="Times New Roman"/>
          <w:u w:color="000000" w:themeColor="text1"/>
        </w:rPr>
        <w:tab/>
        <w:t>(2)</w:t>
      </w:r>
      <w:r w:rsidRPr="001C4CB6">
        <w:rPr>
          <w:rFonts w:cs="Times New Roman"/>
          <w:u w:color="000000" w:themeColor="text1"/>
        </w:rPr>
        <w:tab/>
        <w:t>as a result of apparent suicide;</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r>
      <w:r w:rsidRPr="001C4CB6">
        <w:rPr>
          <w:rFonts w:cs="Times New Roman"/>
          <w:u w:color="000000" w:themeColor="text1"/>
        </w:rPr>
        <w:tab/>
        <w:t>(3)</w:t>
      </w:r>
      <w:r w:rsidRPr="001C4CB6">
        <w:rPr>
          <w:rFonts w:cs="Times New Roman"/>
          <w:u w:color="000000" w:themeColor="text1"/>
        </w:rPr>
        <w:tab/>
        <w:t>when in apparent good health;</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r>
      <w:r w:rsidRPr="001C4CB6">
        <w:rPr>
          <w:rFonts w:cs="Times New Roman"/>
          <w:u w:color="000000" w:themeColor="text1"/>
        </w:rPr>
        <w:tab/>
        <w:t>(4)</w:t>
      </w:r>
      <w:r w:rsidRPr="001C4CB6">
        <w:rPr>
          <w:rFonts w:cs="Times New Roman"/>
          <w:u w:color="000000" w:themeColor="text1"/>
        </w:rPr>
        <w:tab/>
        <w:t>when unattended by a physician;</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r>
      <w:r w:rsidRPr="001C4CB6">
        <w:rPr>
          <w:rFonts w:cs="Times New Roman"/>
          <w:u w:color="000000" w:themeColor="text1"/>
        </w:rPr>
        <w:tab/>
        <w:t>(5)</w:t>
      </w:r>
      <w:r w:rsidRPr="001C4CB6">
        <w:rPr>
          <w:rFonts w:cs="Times New Roman"/>
          <w:u w:color="000000" w:themeColor="text1"/>
        </w:rPr>
        <w:tab/>
        <w:t>in any suspicious or unusual manner;</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r>
      <w:r w:rsidRPr="001C4CB6">
        <w:rPr>
          <w:rFonts w:cs="Times New Roman"/>
          <w:u w:color="000000" w:themeColor="text1"/>
        </w:rPr>
        <w:tab/>
        <w:t>(6)</w:t>
      </w:r>
      <w:r w:rsidRPr="001C4CB6">
        <w:rPr>
          <w:rFonts w:cs="Times New Roman"/>
          <w:u w:color="000000" w:themeColor="text1"/>
        </w:rPr>
        <w:tab/>
        <w:t xml:space="preserve">while an inmate of a penal or correctional institution; </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r>
      <w:r w:rsidRPr="001C4CB6">
        <w:rPr>
          <w:rFonts w:cs="Times New Roman"/>
          <w:u w:color="000000" w:themeColor="text1"/>
        </w:rPr>
        <w:tab/>
        <w:t>(7)</w:t>
      </w:r>
      <w:r w:rsidRPr="001C4CB6">
        <w:rPr>
          <w:rFonts w:cs="Times New Roman"/>
          <w:u w:color="000000" w:themeColor="text1"/>
        </w:rPr>
        <w:tab/>
        <w:t>as a result of stillbirth when unattended by a physician; or</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r>
      <w:r w:rsidRPr="001C4CB6">
        <w:rPr>
          <w:rFonts w:cs="Times New Roman"/>
          <w:u w:color="000000" w:themeColor="text1"/>
        </w:rPr>
        <w:tab/>
        <w:t>(8)</w:t>
      </w:r>
      <w:r w:rsidRPr="001C4CB6">
        <w:rPr>
          <w:rFonts w:cs="Times New Roman"/>
          <w:u w:color="000000" w:themeColor="text1"/>
        </w:rPr>
        <w:tab/>
        <w:t>in a health care facility, as defined in Section 44</w:t>
      </w:r>
      <w:r>
        <w:rPr>
          <w:rFonts w:cs="Times New Roman"/>
          <w:u w:color="000000" w:themeColor="text1"/>
        </w:rPr>
        <w:noBreakHyphen/>
      </w:r>
      <w:r w:rsidRPr="001C4CB6">
        <w:rPr>
          <w:rFonts w:cs="Times New Roman"/>
          <w:u w:color="000000" w:themeColor="text1"/>
        </w:rPr>
        <w:t>7</w:t>
      </w:r>
      <w:r>
        <w:rPr>
          <w:rFonts w:cs="Times New Roman"/>
          <w:u w:color="000000" w:themeColor="text1"/>
        </w:rPr>
        <w:noBreakHyphen/>
      </w:r>
      <w:r w:rsidRPr="001C4CB6">
        <w:rPr>
          <w:rFonts w:cs="Times New Roman"/>
          <w:u w:color="000000" w:themeColor="text1"/>
        </w:rPr>
        <w:t>130(10) other than nursing homes, within twenty</w:t>
      </w:r>
      <w:r>
        <w:rPr>
          <w:rFonts w:cs="Times New Roman"/>
          <w:u w:color="000000" w:themeColor="text1"/>
        </w:rPr>
        <w:noBreakHyphen/>
      </w:r>
      <w:r w:rsidRPr="001C4CB6">
        <w:rPr>
          <w:rFonts w:cs="Times New Roman"/>
          <w:u w:color="000000" w:themeColor="text1"/>
        </w:rPr>
        <w:t>four hours of entering a health care facility or within twenty</w:t>
      </w:r>
      <w:r>
        <w:rPr>
          <w:rFonts w:cs="Times New Roman"/>
          <w:u w:color="000000" w:themeColor="text1"/>
        </w:rPr>
        <w:noBreakHyphen/>
      </w:r>
      <w:r w:rsidRPr="001C4CB6">
        <w:rPr>
          <w:rFonts w:cs="Times New Roman"/>
          <w:u w:color="000000" w:themeColor="text1"/>
        </w:rPr>
        <w:t>four hours after having undergone an invasive surgical procedure at the health care facility;</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t>a person having knowledge of the death immediately shall notify the county coroner</w:t>
      </w:r>
      <w:r w:rsidRPr="00206CCB">
        <w:rPr>
          <w:rFonts w:cs="Times New Roman"/>
          <w:u w:color="000000" w:themeColor="text1"/>
        </w:rPr>
        <w:t>’</w:t>
      </w:r>
      <w:r w:rsidRPr="001C4CB6">
        <w:rPr>
          <w:rFonts w:cs="Times New Roman"/>
          <w:u w:color="000000" w:themeColor="text1"/>
        </w:rPr>
        <w:t>s or medical examiner</w:t>
      </w:r>
      <w:r w:rsidRPr="00206CCB">
        <w:rPr>
          <w:rFonts w:cs="Times New Roman"/>
          <w:u w:color="000000" w:themeColor="text1"/>
        </w:rPr>
        <w:t>’</w:t>
      </w:r>
      <w:r w:rsidRPr="001C4CB6">
        <w:rPr>
          <w:rFonts w:cs="Times New Roman"/>
          <w:u w:color="000000" w:themeColor="text1"/>
        </w:rPr>
        <w:t>s office.  This procedure also must be followed upon discovery of anatomical material suspected of being or determined to be a part of a human body.</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t>(B)</w:t>
      </w:r>
      <w:r w:rsidRPr="001C4CB6">
        <w:rPr>
          <w:rFonts w:cs="Times New Roman"/>
          <w:u w:color="000000" w:themeColor="text1"/>
        </w:rPr>
        <w:tab/>
        <w:t xml:space="preserve">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 </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t>(C)</w:t>
      </w:r>
      <w:r w:rsidRPr="001C4CB6">
        <w:rPr>
          <w:rFonts w:cs="Times New Roman"/>
          <w:u w:color="000000" w:themeColor="text1"/>
        </w:rPr>
        <w:tab/>
        <w:t>The coroner or medical examiner shall notify in writing the deceased person</w:t>
      </w:r>
      <w:r w:rsidRPr="00206CCB">
        <w:rPr>
          <w:rFonts w:cs="Times New Roman"/>
          <w:u w:color="000000" w:themeColor="text1"/>
        </w:rPr>
        <w:t>’</w:t>
      </w:r>
      <w:r w:rsidRPr="001C4CB6">
        <w:rPr>
          <w:rFonts w:cs="Times New Roman"/>
          <w:u w:color="000000" w:themeColor="text1"/>
        </w:rPr>
        <w:t>s next</w:t>
      </w:r>
      <w:r>
        <w:rPr>
          <w:rFonts w:cs="Times New Roman"/>
          <w:u w:color="000000" w:themeColor="text1"/>
        </w:rPr>
        <w:noBreakHyphen/>
      </w:r>
      <w:r w:rsidRPr="001C4CB6">
        <w:rPr>
          <w:rFonts w:cs="Times New Roman"/>
          <w:u w:color="000000" w:themeColor="text1"/>
        </w:rPr>
        <w:t>of</w:t>
      </w:r>
      <w:r>
        <w:rPr>
          <w:rFonts w:cs="Times New Roman"/>
          <w:u w:color="000000" w:themeColor="text1"/>
        </w:rPr>
        <w:noBreakHyphen/>
      </w:r>
      <w:r w:rsidRPr="001C4CB6">
        <w:rPr>
          <w:rFonts w:cs="Times New Roman"/>
          <w:u w:color="000000" w:themeColor="text1"/>
        </w:rPr>
        <w:t xml:space="preserve">kin, if known, that in the course of performing the autopsy, body parts may have been retained for the purpose of investigating the cause and manner of death. </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C4CB6">
        <w:rPr>
          <w:rFonts w:cs="Times New Roman"/>
          <w:u w:color="000000" w:themeColor="text1"/>
        </w:rPr>
        <w:tab/>
        <w:t>(D)</w:t>
      </w:r>
      <w:r w:rsidRPr="001C4CB6">
        <w:rPr>
          <w:rFonts w:cs="Times New Roman"/>
          <w:u w:color="000000" w:themeColor="text1"/>
        </w:rPr>
        <w:tab/>
        <w:t>In performing an autopsy or post</w:t>
      </w:r>
      <w:r>
        <w:rPr>
          <w:rFonts w:cs="Times New Roman"/>
          <w:u w:color="000000" w:themeColor="text1"/>
        </w:rPr>
        <w:noBreakHyphen/>
      </w:r>
      <w:r w:rsidRPr="001C4CB6">
        <w:rPr>
          <w:rFonts w:cs="Times New Roman"/>
          <w:u w:color="000000" w:themeColor="text1"/>
        </w:rPr>
        <w:t>mortem examination, no body parts, as defined in Section 44</w:t>
      </w:r>
      <w:r>
        <w:rPr>
          <w:rFonts w:cs="Times New Roman"/>
          <w:u w:color="000000" w:themeColor="text1"/>
        </w:rPr>
        <w:noBreakHyphen/>
      </w:r>
      <w:r w:rsidRPr="001C4CB6">
        <w:rPr>
          <w:rFonts w:cs="Times New Roman"/>
          <w:u w:color="000000" w:themeColor="text1"/>
        </w:rPr>
        <w:t>43</w:t>
      </w:r>
      <w:r>
        <w:rPr>
          <w:rFonts w:cs="Times New Roman"/>
          <w:u w:color="000000" w:themeColor="text1"/>
        </w:rPr>
        <w:noBreakHyphen/>
      </w:r>
      <w:r w:rsidRPr="001C4CB6">
        <w:rPr>
          <w:rFonts w:cs="Times New Roman"/>
          <w:u w:color="000000" w:themeColor="text1"/>
        </w:rPr>
        <w:t>305, removed from the body may be used for any purpose other than to determine the cause or manner of death unless the person authorized to consent, as defined in Section 44</w:t>
      </w:r>
      <w:r>
        <w:rPr>
          <w:rFonts w:cs="Times New Roman"/>
          <w:u w:color="000000" w:themeColor="text1"/>
        </w:rPr>
        <w:noBreakHyphen/>
      </w:r>
      <w:r w:rsidRPr="001C4CB6">
        <w:rPr>
          <w:rFonts w:cs="Times New Roman"/>
          <w:u w:color="000000" w:themeColor="text1"/>
        </w:rPr>
        <w:t>43</w:t>
      </w:r>
      <w:r>
        <w:rPr>
          <w:rFonts w:cs="Times New Roman"/>
          <w:u w:color="000000" w:themeColor="text1"/>
        </w:rPr>
        <w:noBreakHyphen/>
      </w:r>
      <w:r w:rsidRPr="001C4CB6">
        <w:rPr>
          <w:rFonts w:cs="Times New Roman"/>
          <w:u w:color="000000" w:themeColor="text1"/>
        </w:rPr>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Pr>
          <w:rFonts w:cs="Times New Roman"/>
          <w:u w:color="000000" w:themeColor="text1"/>
        </w:rPr>
        <w:noBreakHyphen/>
      </w:r>
      <w:r w:rsidRPr="001C4CB6">
        <w:rPr>
          <w:rFonts w:cs="Times New Roman"/>
          <w:u w:color="000000" w:themeColor="text1"/>
        </w:rPr>
        <w:t>to</w:t>
      </w:r>
      <w:r>
        <w:rPr>
          <w:rFonts w:cs="Times New Roman"/>
          <w:u w:color="000000" w:themeColor="text1"/>
        </w:rPr>
        <w:noBreakHyphen/>
      </w:r>
      <w:r w:rsidRPr="001C4CB6">
        <w:rPr>
          <w:rFonts w:cs="Times New Roman"/>
          <w:u w:color="000000" w:themeColor="text1"/>
        </w:rPr>
        <w:t xml:space="preserve">face communication with a physician, coroner, or medical examiner about the procedure.  If the person authorizing the procedure is unable to consent in person, consent may be given through a recorded telephonic communication. </w:t>
      </w:r>
    </w:p>
    <w:p w:rsidR="00ED6773"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4CB6">
        <w:rPr>
          <w:rFonts w:cs="Times New Roman"/>
          <w:u w:color="000000" w:themeColor="text1"/>
        </w:rPr>
        <w:tab/>
        <w:t>(E)</w:t>
      </w:r>
      <w:r w:rsidRPr="001C4CB6">
        <w:rPr>
          <w:rFonts w:cs="Times New Roman"/>
          <w:u w:color="000000" w:themeColor="text1"/>
        </w:rPr>
        <w:tab/>
        <w:t>If the coroner or medical examiner orders an autopsy upon review of a death pursuant to item (8) of subsection (A), the autopsy must not be performed at the health care facility where the death occurred or by a physician who treated the patient or is employed by the health care facility in which the death occurred.</w:t>
      </w:r>
      <w:r w:rsidRPr="001C4CB6">
        <w:rPr>
          <w:rFonts w:cs="Times New Roman"/>
        </w:rPr>
        <w:t xml:space="preserve">” </w:t>
      </w:r>
    </w:p>
    <w:p w:rsidR="00ED6773"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773" w:rsidRPr="004462A5"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rPr>
        <w:t>Time effective</w:t>
      </w: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D6773" w:rsidRPr="001C4CB6" w:rsidRDefault="00ED6773"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4CB6">
        <w:rPr>
          <w:rFonts w:cs="Times New Roman"/>
          <w:u w:color="000000" w:themeColor="text1"/>
        </w:rPr>
        <w:t>SECTION</w:t>
      </w:r>
      <w:r w:rsidRPr="001C4CB6">
        <w:rPr>
          <w:rFonts w:cs="Times New Roman"/>
          <w:u w:color="000000" w:themeColor="text1"/>
        </w:rPr>
        <w:tab/>
        <w:t>4.</w:t>
      </w:r>
      <w:r w:rsidRPr="001C4CB6">
        <w:rPr>
          <w:rFonts w:cs="Times New Roman"/>
          <w:u w:color="000000" w:themeColor="text1"/>
        </w:rPr>
        <w:tab/>
        <w:t>This act takes effect July 1, 2010.</w:t>
      </w:r>
    </w:p>
    <w:p w:rsidR="00ED6773" w:rsidRDefault="00ED6773" w:rsidP="00ED6773">
      <w:pPr>
        <w:tabs>
          <w:tab w:val="left" w:pos="1440"/>
          <w:tab w:val="left" w:pos="1800"/>
          <w:tab w:val="left" w:pos="2880"/>
        </w:tabs>
        <w:rPr>
          <w:color w:val="000000" w:themeColor="text1"/>
        </w:rPr>
      </w:pPr>
    </w:p>
    <w:p w:rsidR="00ED6773" w:rsidRDefault="00ED6773" w:rsidP="00ED6773">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ED6773" w:rsidRDefault="00ED6773" w:rsidP="00ED6773">
      <w:pPr>
        <w:tabs>
          <w:tab w:val="left" w:pos="1440"/>
          <w:tab w:val="left" w:pos="1800"/>
          <w:tab w:val="left" w:pos="2880"/>
        </w:tabs>
        <w:rPr>
          <w:color w:val="000000" w:themeColor="text1"/>
        </w:rPr>
      </w:pPr>
    </w:p>
    <w:p w:rsidR="00ED6773" w:rsidRDefault="00ED6773" w:rsidP="00ED6773">
      <w:pPr>
        <w:tabs>
          <w:tab w:val="left" w:pos="1440"/>
          <w:tab w:val="left" w:pos="1800"/>
          <w:tab w:val="left" w:pos="2880"/>
        </w:tabs>
        <w:rPr>
          <w:color w:val="000000" w:themeColor="text1"/>
        </w:rPr>
      </w:pPr>
      <w:r>
        <w:rPr>
          <w:color w:val="000000" w:themeColor="text1"/>
        </w:rPr>
        <w:t>Approved the 2</w:t>
      </w:r>
      <w:r w:rsidRPr="002D0A38">
        <w:rPr>
          <w:color w:val="000000" w:themeColor="text1"/>
          <w:vertAlign w:val="superscript"/>
        </w:rPr>
        <w:t>nd</w:t>
      </w:r>
      <w:r>
        <w:rPr>
          <w:color w:val="000000" w:themeColor="text1"/>
        </w:rPr>
        <w:t xml:space="preserve"> day of June, 2010. </w:t>
      </w:r>
    </w:p>
    <w:p w:rsidR="00ED6773" w:rsidRDefault="00ED6773" w:rsidP="00ED6773">
      <w:pPr>
        <w:tabs>
          <w:tab w:val="left" w:pos="1440"/>
          <w:tab w:val="left" w:pos="1800"/>
          <w:tab w:val="left" w:pos="2880"/>
        </w:tabs>
        <w:jc w:val="center"/>
        <w:rPr>
          <w:color w:val="000000" w:themeColor="text1"/>
        </w:rPr>
      </w:pPr>
    </w:p>
    <w:p w:rsidR="00ED6773" w:rsidRDefault="00ED6773" w:rsidP="00ED6773">
      <w:pPr>
        <w:tabs>
          <w:tab w:val="left" w:pos="1440"/>
          <w:tab w:val="left" w:pos="1800"/>
          <w:tab w:val="left" w:pos="2880"/>
        </w:tabs>
        <w:jc w:val="center"/>
        <w:rPr>
          <w:color w:val="000000" w:themeColor="text1"/>
        </w:rPr>
      </w:pPr>
      <w:r>
        <w:rPr>
          <w:color w:val="000000" w:themeColor="text1"/>
        </w:rPr>
        <w:t>__________</w:t>
      </w:r>
    </w:p>
    <w:p w:rsidR="008836A5" w:rsidRPr="00A91E76" w:rsidRDefault="008836A5" w:rsidP="00ED6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91E76" w:rsidSect="007F3CF8">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8E2" w:rsidRDefault="00F918E2" w:rsidP="007D5FAC">
      <w:r>
        <w:separator/>
      </w:r>
    </w:p>
  </w:endnote>
  <w:endnote w:type="continuationSeparator" w:id="0">
    <w:p w:rsidR="00F918E2" w:rsidRDefault="00F918E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CF8" w:rsidRPr="007F3CF8" w:rsidRDefault="007F3CF8" w:rsidP="007F3CF8">
    <w:pPr>
      <w:pStyle w:val="Footer"/>
      <w:tabs>
        <w:tab w:val="clear" w:pos="4680"/>
        <w:tab w:val="clear" w:pos="9360"/>
        <w:tab w:val="center" w:pos="3168"/>
      </w:tabs>
      <w:spacing w:before="120"/>
    </w:pPr>
    <w:r>
      <w:tab/>
    </w:r>
    <w:r w:rsidR="00DF1FE6">
      <w:fldChar w:fldCharType="begin"/>
    </w:r>
    <w:r w:rsidR="00612142">
      <w:instrText xml:space="preserve"> PAGE  \* MERGEFORMAT </w:instrText>
    </w:r>
    <w:r w:rsidR="00DF1FE6">
      <w:fldChar w:fldCharType="separate"/>
    </w:r>
    <w:r w:rsidR="00ED6773">
      <w:rPr>
        <w:noProof/>
      </w:rPr>
      <w:t>3</w:t>
    </w:r>
    <w:r w:rsidR="00DF1FE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CF8" w:rsidRDefault="007F3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8E2" w:rsidRDefault="00F918E2" w:rsidP="007D5FAC">
      <w:r>
        <w:separator/>
      </w:r>
    </w:p>
  </w:footnote>
  <w:footnote w:type="continuationSeparator" w:id="0">
    <w:p w:rsidR="00F918E2" w:rsidRDefault="00F918E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735"/>
    <w:docVar w:name="ActSecretary" w:val="Downey"/>
    <w:docVar w:name="ActSIdno" w:val="(879)  3735AC10"/>
    <w:docVar w:name="clipname" w:val="3735AC10"/>
    <w:docVar w:name="dvBillNumber" w:val="3735"/>
    <w:docVar w:name="dvBillNumberPrefix" w:val="H"/>
    <w:docVar w:name="dvOriginalBody" w:val="House"/>
    <w:docVar w:name="HOUSEACTFULLPATH" w:val="L:\COUNCIL\ACTS\3735AC10.DOCX"/>
    <w:docVar w:name="OrigHOUSEBillNo" w:val="3735"/>
    <w:docVar w:name="WhatActtype" w:val="AN ACT"/>
  </w:docVars>
  <w:rsids>
    <w:rsidRoot w:val="00826EBA"/>
    <w:rsid w:val="00002DE0"/>
    <w:rsid w:val="00005599"/>
    <w:rsid w:val="00020349"/>
    <w:rsid w:val="00020977"/>
    <w:rsid w:val="00021B0B"/>
    <w:rsid w:val="00033004"/>
    <w:rsid w:val="00040C05"/>
    <w:rsid w:val="0004579B"/>
    <w:rsid w:val="00051B4F"/>
    <w:rsid w:val="00060E60"/>
    <w:rsid w:val="000673E4"/>
    <w:rsid w:val="00070694"/>
    <w:rsid w:val="0007088D"/>
    <w:rsid w:val="000731E9"/>
    <w:rsid w:val="00074565"/>
    <w:rsid w:val="00076A1A"/>
    <w:rsid w:val="00077DA3"/>
    <w:rsid w:val="00081300"/>
    <w:rsid w:val="00085C37"/>
    <w:rsid w:val="00092EE6"/>
    <w:rsid w:val="00096A9B"/>
    <w:rsid w:val="00096BDA"/>
    <w:rsid w:val="000A6151"/>
    <w:rsid w:val="000B316D"/>
    <w:rsid w:val="000B56CB"/>
    <w:rsid w:val="000D46A9"/>
    <w:rsid w:val="000D6F51"/>
    <w:rsid w:val="0010022F"/>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09D8"/>
    <w:rsid w:val="001D279C"/>
    <w:rsid w:val="001D6463"/>
    <w:rsid w:val="001E47D6"/>
    <w:rsid w:val="001F009D"/>
    <w:rsid w:val="001F1CCC"/>
    <w:rsid w:val="001F23AF"/>
    <w:rsid w:val="001F729C"/>
    <w:rsid w:val="00200C6E"/>
    <w:rsid w:val="00204492"/>
    <w:rsid w:val="002068E6"/>
    <w:rsid w:val="00206CCB"/>
    <w:rsid w:val="00206EF4"/>
    <w:rsid w:val="00206FB0"/>
    <w:rsid w:val="00212CD6"/>
    <w:rsid w:val="00215235"/>
    <w:rsid w:val="00223E0F"/>
    <w:rsid w:val="00226AE7"/>
    <w:rsid w:val="00231146"/>
    <w:rsid w:val="002321B6"/>
    <w:rsid w:val="00234401"/>
    <w:rsid w:val="00234E70"/>
    <w:rsid w:val="002367D4"/>
    <w:rsid w:val="00237A9D"/>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68"/>
    <w:rsid w:val="00372FF8"/>
    <w:rsid w:val="0038005A"/>
    <w:rsid w:val="0039655A"/>
    <w:rsid w:val="00396C58"/>
    <w:rsid w:val="003A08C3"/>
    <w:rsid w:val="003A58C1"/>
    <w:rsid w:val="003A6D96"/>
    <w:rsid w:val="003A729D"/>
    <w:rsid w:val="003A7517"/>
    <w:rsid w:val="003B105A"/>
    <w:rsid w:val="003B1A01"/>
    <w:rsid w:val="003B2E6E"/>
    <w:rsid w:val="003B355D"/>
    <w:rsid w:val="003B6BB7"/>
    <w:rsid w:val="003B746E"/>
    <w:rsid w:val="003C030C"/>
    <w:rsid w:val="003D2A73"/>
    <w:rsid w:val="003D5D65"/>
    <w:rsid w:val="003E2FE8"/>
    <w:rsid w:val="003E515E"/>
    <w:rsid w:val="00400828"/>
    <w:rsid w:val="00401385"/>
    <w:rsid w:val="00412B47"/>
    <w:rsid w:val="004157C4"/>
    <w:rsid w:val="0041760A"/>
    <w:rsid w:val="00417A9C"/>
    <w:rsid w:val="00423310"/>
    <w:rsid w:val="00427BCB"/>
    <w:rsid w:val="00430DA3"/>
    <w:rsid w:val="00432E09"/>
    <w:rsid w:val="00435D03"/>
    <w:rsid w:val="004374A9"/>
    <w:rsid w:val="00445A20"/>
    <w:rsid w:val="004462A5"/>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142A1"/>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1990"/>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142"/>
    <w:rsid w:val="00612BB0"/>
    <w:rsid w:val="00616994"/>
    <w:rsid w:val="006236C9"/>
    <w:rsid w:val="00625487"/>
    <w:rsid w:val="00626F43"/>
    <w:rsid w:val="0063724D"/>
    <w:rsid w:val="0064018A"/>
    <w:rsid w:val="00641A70"/>
    <w:rsid w:val="00643998"/>
    <w:rsid w:val="00651313"/>
    <w:rsid w:val="00655550"/>
    <w:rsid w:val="00655604"/>
    <w:rsid w:val="00657AB1"/>
    <w:rsid w:val="00663AC3"/>
    <w:rsid w:val="00672966"/>
    <w:rsid w:val="006750A0"/>
    <w:rsid w:val="00684225"/>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5282"/>
    <w:rsid w:val="00737039"/>
    <w:rsid w:val="007373C7"/>
    <w:rsid w:val="00740BEB"/>
    <w:rsid w:val="007469F9"/>
    <w:rsid w:val="0074783A"/>
    <w:rsid w:val="007514EF"/>
    <w:rsid w:val="007659D0"/>
    <w:rsid w:val="00765D0A"/>
    <w:rsid w:val="007746C2"/>
    <w:rsid w:val="00775B87"/>
    <w:rsid w:val="00784A23"/>
    <w:rsid w:val="007946C3"/>
    <w:rsid w:val="007A44AD"/>
    <w:rsid w:val="007A4BCD"/>
    <w:rsid w:val="007A73EA"/>
    <w:rsid w:val="007A7F6B"/>
    <w:rsid w:val="007B0E40"/>
    <w:rsid w:val="007B277B"/>
    <w:rsid w:val="007B296A"/>
    <w:rsid w:val="007B2D27"/>
    <w:rsid w:val="007B59FD"/>
    <w:rsid w:val="007C3AED"/>
    <w:rsid w:val="007C3D08"/>
    <w:rsid w:val="007C3EC8"/>
    <w:rsid w:val="007C7B7F"/>
    <w:rsid w:val="007D5FAC"/>
    <w:rsid w:val="007E19E6"/>
    <w:rsid w:val="007E3A81"/>
    <w:rsid w:val="007F3CF8"/>
    <w:rsid w:val="007F6631"/>
    <w:rsid w:val="007F6D46"/>
    <w:rsid w:val="007F7184"/>
    <w:rsid w:val="00800AD0"/>
    <w:rsid w:val="0081729E"/>
    <w:rsid w:val="00826EBA"/>
    <w:rsid w:val="00832F5E"/>
    <w:rsid w:val="00836D7F"/>
    <w:rsid w:val="008411F9"/>
    <w:rsid w:val="00841A98"/>
    <w:rsid w:val="00841BFC"/>
    <w:rsid w:val="008449B6"/>
    <w:rsid w:val="00844F95"/>
    <w:rsid w:val="00850549"/>
    <w:rsid w:val="008524CC"/>
    <w:rsid w:val="00855672"/>
    <w:rsid w:val="00860CD2"/>
    <w:rsid w:val="00865315"/>
    <w:rsid w:val="00865A3F"/>
    <w:rsid w:val="008674BA"/>
    <w:rsid w:val="00870435"/>
    <w:rsid w:val="008733F2"/>
    <w:rsid w:val="008746A0"/>
    <w:rsid w:val="008836A5"/>
    <w:rsid w:val="00892AF7"/>
    <w:rsid w:val="0089468D"/>
    <w:rsid w:val="008963A4"/>
    <w:rsid w:val="008B2051"/>
    <w:rsid w:val="008B347C"/>
    <w:rsid w:val="008B48BD"/>
    <w:rsid w:val="008C325E"/>
    <w:rsid w:val="008D551F"/>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24D5"/>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1E7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3D8"/>
    <w:rsid w:val="00AD107E"/>
    <w:rsid w:val="00AD33E6"/>
    <w:rsid w:val="00AD4887"/>
    <w:rsid w:val="00AD5B89"/>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5421"/>
    <w:rsid w:val="00B60515"/>
    <w:rsid w:val="00B62CAB"/>
    <w:rsid w:val="00B72ED3"/>
    <w:rsid w:val="00B73571"/>
    <w:rsid w:val="00B83DA1"/>
    <w:rsid w:val="00B846E9"/>
    <w:rsid w:val="00B92CEA"/>
    <w:rsid w:val="00BB1593"/>
    <w:rsid w:val="00BB43F6"/>
    <w:rsid w:val="00BB6EF3"/>
    <w:rsid w:val="00BC5FF9"/>
    <w:rsid w:val="00BC6307"/>
    <w:rsid w:val="00BE1FCF"/>
    <w:rsid w:val="00BE2AFF"/>
    <w:rsid w:val="00BE36EB"/>
    <w:rsid w:val="00BE41F8"/>
    <w:rsid w:val="00BF1B60"/>
    <w:rsid w:val="00BF2034"/>
    <w:rsid w:val="00BF33CD"/>
    <w:rsid w:val="00BF352D"/>
    <w:rsid w:val="00C0158B"/>
    <w:rsid w:val="00C02F6F"/>
    <w:rsid w:val="00C03629"/>
    <w:rsid w:val="00C06FF3"/>
    <w:rsid w:val="00C1173A"/>
    <w:rsid w:val="00C15148"/>
    <w:rsid w:val="00C1641E"/>
    <w:rsid w:val="00C216F6"/>
    <w:rsid w:val="00C230AF"/>
    <w:rsid w:val="00C34674"/>
    <w:rsid w:val="00C3483A"/>
    <w:rsid w:val="00C45263"/>
    <w:rsid w:val="00C46AB4"/>
    <w:rsid w:val="00C55195"/>
    <w:rsid w:val="00C7071A"/>
    <w:rsid w:val="00C748CB"/>
    <w:rsid w:val="00C74E9D"/>
    <w:rsid w:val="00C81812"/>
    <w:rsid w:val="00C837F6"/>
    <w:rsid w:val="00C92B7D"/>
    <w:rsid w:val="00C93FC2"/>
    <w:rsid w:val="00C94E59"/>
    <w:rsid w:val="00C97CB8"/>
    <w:rsid w:val="00CA4CD7"/>
    <w:rsid w:val="00CB08A1"/>
    <w:rsid w:val="00CB12FE"/>
    <w:rsid w:val="00CC26C2"/>
    <w:rsid w:val="00CC2825"/>
    <w:rsid w:val="00CC3E29"/>
    <w:rsid w:val="00CE13B0"/>
    <w:rsid w:val="00CE1407"/>
    <w:rsid w:val="00CE54EA"/>
    <w:rsid w:val="00CE5B85"/>
    <w:rsid w:val="00CF5A4E"/>
    <w:rsid w:val="00D00681"/>
    <w:rsid w:val="00D06DCC"/>
    <w:rsid w:val="00D1180E"/>
    <w:rsid w:val="00D119FC"/>
    <w:rsid w:val="00D132DB"/>
    <w:rsid w:val="00D13C21"/>
    <w:rsid w:val="00D16DAA"/>
    <w:rsid w:val="00D17AD0"/>
    <w:rsid w:val="00D24F96"/>
    <w:rsid w:val="00D25595"/>
    <w:rsid w:val="00D31442"/>
    <w:rsid w:val="00D3443A"/>
    <w:rsid w:val="00D366FE"/>
    <w:rsid w:val="00D375C1"/>
    <w:rsid w:val="00D45624"/>
    <w:rsid w:val="00D474CA"/>
    <w:rsid w:val="00D50FB9"/>
    <w:rsid w:val="00D52086"/>
    <w:rsid w:val="00D56467"/>
    <w:rsid w:val="00D63C04"/>
    <w:rsid w:val="00D650D0"/>
    <w:rsid w:val="00D75E1A"/>
    <w:rsid w:val="00D76225"/>
    <w:rsid w:val="00D7706E"/>
    <w:rsid w:val="00D80303"/>
    <w:rsid w:val="00D82377"/>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1FE6"/>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5421"/>
    <w:rsid w:val="00ED6773"/>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35025"/>
    <w:rsid w:val="00F432E0"/>
    <w:rsid w:val="00F44E35"/>
    <w:rsid w:val="00F509CF"/>
    <w:rsid w:val="00F51775"/>
    <w:rsid w:val="00F54582"/>
    <w:rsid w:val="00F61884"/>
    <w:rsid w:val="00F627EF"/>
    <w:rsid w:val="00F66E0E"/>
    <w:rsid w:val="00F721C4"/>
    <w:rsid w:val="00F7296A"/>
    <w:rsid w:val="00F80C6A"/>
    <w:rsid w:val="00F86999"/>
    <w:rsid w:val="00F918E2"/>
    <w:rsid w:val="00FA7E14"/>
    <w:rsid w:val="00FB1A6A"/>
    <w:rsid w:val="00FC351E"/>
    <w:rsid w:val="00FC380D"/>
    <w:rsid w:val="00FD5B10"/>
    <w:rsid w:val="00FD6DC2"/>
    <w:rsid w:val="00FD7AFA"/>
    <w:rsid w:val="00FE15B8"/>
    <w:rsid w:val="00FE1D78"/>
    <w:rsid w:val="00FE6887"/>
    <w:rsid w:val="00FF0473"/>
    <w:rsid w:val="00FF42B3"/>
    <w:rsid w:val="00FF4B4A"/>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9E372DA4-172E-4315-9CF5-7D93DA7F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F3C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C23D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F3C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37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4-09.docx" TargetMode="External"/><Relationship Id="rId13" Type="http://schemas.openxmlformats.org/officeDocument/2006/relationships/hyperlink" Target="file:///h:\SJ%20Archive\2010\02-23-10.docx" TargetMode="External"/><Relationship Id="rId18" Type="http://schemas.openxmlformats.org/officeDocument/2006/relationships/hyperlink" Target="file:///h:\SJ%20Archive\2010\05-18-10.docx" TargetMode="External"/><Relationship Id="rId26" Type="http://schemas.openxmlformats.org/officeDocument/2006/relationships/hyperlink" Target="file:///p:\pprever\2009-10\3735_20100422.docx" TargetMode="External"/><Relationship Id="rId3" Type="http://schemas.openxmlformats.org/officeDocument/2006/relationships/settings" Target="settings.xml"/><Relationship Id="rId21" Type="http://schemas.openxmlformats.org/officeDocument/2006/relationships/hyperlink" Target="file:///h:\HJ%20Archive\2010\05-25-10.docx" TargetMode="External"/><Relationship Id="rId7" Type="http://schemas.openxmlformats.org/officeDocument/2006/relationships/hyperlink" Target="file:///h:\HJ%20Archive\2009\03-24-09.docx" TargetMode="External"/><Relationship Id="rId12" Type="http://schemas.openxmlformats.org/officeDocument/2006/relationships/hyperlink" Target="file:///h:\HJ%20Archive\2010\02-18-10.docx" TargetMode="External"/><Relationship Id="rId17" Type="http://schemas.openxmlformats.org/officeDocument/2006/relationships/hyperlink" Target="file:///h:\SJ%20Archive\2010\05-18-10.docx" TargetMode="External"/><Relationship Id="rId25" Type="http://schemas.openxmlformats.org/officeDocument/2006/relationships/hyperlink" Target="file:///p:\pprever\2009-10\3735_20100217.docx" TargetMode="External"/><Relationship Id="rId2" Type="http://schemas.openxmlformats.org/officeDocument/2006/relationships/styles" Target="styles.xml"/><Relationship Id="rId16" Type="http://schemas.openxmlformats.org/officeDocument/2006/relationships/hyperlink" Target="file:///h:\SJ%20Archive\2010\05-12-10.docx" TargetMode="External"/><Relationship Id="rId20" Type="http://schemas.openxmlformats.org/officeDocument/2006/relationships/hyperlink" Target="file:///h:\HJ%20Archive\2010\05-25-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17-10.docx" TargetMode="External"/><Relationship Id="rId24" Type="http://schemas.openxmlformats.org/officeDocument/2006/relationships/hyperlink" Target="file:///p:\pprever\2009-10\3735_20100208.docx" TargetMode="External"/><Relationship Id="rId5" Type="http://schemas.openxmlformats.org/officeDocument/2006/relationships/footnotes" Target="footnotes.xml"/><Relationship Id="rId15" Type="http://schemas.openxmlformats.org/officeDocument/2006/relationships/hyperlink" Target="file:///h:\SJ%20Archive\2010\04-22-10.docx" TargetMode="External"/><Relationship Id="rId23" Type="http://schemas.openxmlformats.org/officeDocument/2006/relationships/hyperlink" Target="file:///p:\pprever\2009-10\3735_20100204.docx" TargetMode="External"/><Relationship Id="rId28" Type="http://schemas.openxmlformats.org/officeDocument/2006/relationships/footer" Target="footer1.xml"/><Relationship Id="rId10" Type="http://schemas.openxmlformats.org/officeDocument/2006/relationships/hyperlink" Target="file:///h:\HJ%20Archive\2010\02-17-10.docx" TargetMode="External"/><Relationship Id="rId19" Type="http://schemas.openxmlformats.org/officeDocument/2006/relationships/hyperlink" Target="file:///h:\HJ%20Archive\2010\05-19-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SJ%20Archive\2010\02-23-10.docx" TargetMode="External"/><Relationship Id="rId22" Type="http://schemas.openxmlformats.org/officeDocument/2006/relationships/hyperlink" Target="file:///p:\pprever\2009-10\3735_20090324.docx" TargetMode="External"/><Relationship Id="rId27" Type="http://schemas.openxmlformats.org/officeDocument/2006/relationships/hyperlink" Target="file:///p:\pprever\2009-10\3735_20100518.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FC2E4-154E-48A2-A17C-5B7E44B2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1077</Words>
  <Characters>5574</Characters>
  <Application>Microsoft Office Word</Application>
  <DocSecurity>0</DocSecurity>
  <Lines>166</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3735: Ann S. Perdue Independent Autopsy Fairness Act of 2009 - South Carolina Legislature Online</dc:title>
  <dc:subject/>
  <dc:creator>NikiDowney</dc:creator>
  <cp:keywords/>
  <dc:description/>
  <cp:lastModifiedBy>N Cumfer</cp:lastModifiedBy>
  <cp:revision>5</cp:revision>
  <dcterms:created xsi:type="dcterms:W3CDTF">2010-09-29T16:25:00Z</dcterms:created>
  <dcterms:modified xsi:type="dcterms:W3CDTF">2014-11-24T16:12:00Z</dcterms:modified>
</cp:coreProperties>
</file>