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3988</w:t>
      </w: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Funderburk</w:t>
      </w: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l:\council\bills\agm\19406mm09.docx</w:t>
      </w: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B601A" w:rsidRDefault="00BB6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29, 2009</w:t>
      </w:r>
    </w:p>
    <w:p w:rsidR="00BB601A" w:rsidRDefault="00BB6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22, 2010</w:t>
      </w:r>
    </w:p>
    <w:p w:rsidR="00BB601A" w:rsidRDefault="00BB6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21, 2010</w:t>
      </w:r>
    </w:p>
    <w:p w:rsidR="00BB601A" w:rsidRPr="00BB601A" w:rsidRDefault="00BB6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BB601A">
        <w:rPr>
          <w:b/>
        </w:rPr>
        <w:t>Judiciary</w:t>
      </w:r>
    </w:p>
    <w:p w:rsidR="00BB601A" w:rsidRDefault="00BB6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Vehicles</w:t>
      </w: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E5342" w:rsidRDefault="00966FE2">
      <w:pPr>
        <w:widowControl w:val="0"/>
        <w:tabs>
          <w:tab w:val="center" w:pos="590"/>
          <w:tab w:val="center" w:pos="1440"/>
          <w:tab w:val="left" w:pos="1872"/>
          <w:tab w:val="left" w:pos="9187"/>
        </w:tabs>
        <w:jc w:val="left"/>
      </w:pPr>
      <w:r>
        <w:rPr>
          <w:b/>
        </w:rPr>
        <w:t>HISTORY OF LEGISLATIVE ACTIONS</w:t>
      </w:r>
    </w:p>
    <w:p w:rsidR="000E5342" w:rsidRDefault="000E5342">
      <w:pPr>
        <w:widowControl w:val="0"/>
        <w:tabs>
          <w:tab w:val="center" w:pos="590"/>
          <w:tab w:val="center" w:pos="1440"/>
          <w:tab w:val="left" w:pos="1872"/>
          <w:tab w:val="left" w:pos="9187"/>
        </w:tabs>
        <w:jc w:val="left"/>
      </w:pPr>
    </w:p>
    <w:p w:rsidR="000E5342" w:rsidRDefault="00966F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C6D96" w:rsidRDefault="00CC6D96" w:rsidP="00CC6D96">
      <w:pPr>
        <w:widowControl w:val="0"/>
        <w:tabs>
          <w:tab w:val="right" w:pos="1008"/>
          <w:tab w:val="left" w:pos="1152"/>
          <w:tab w:val="left" w:pos="1872"/>
          <w:tab w:val="left" w:pos="9187"/>
        </w:tabs>
        <w:ind w:left="2088" w:hanging="2088"/>
        <w:jc w:val="left"/>
      </w:pPr>
      <w:r>
        <w:tab/>
        <w:t>4/29/2009</w:t>
      </w:r>
      <w:r>
        <w:tab/>
        <w:t>House</w:t>
      </w:r>
      <w:r>
        <w:tab/>
      </w:r>
      <w:r w:rsidRPr="004D4562">
        <w:t xml:space="preserve">Introduced and read first time </w:t>
      </w:r>
      <w:hyperlink r:id="rId7" w:history="1">
        <w:r w:rsidRPr="009F521E">
          <w:rPr>
            <w:rStyle w:val="Hyperlink"/>
          </w:rPr>
          <w:t>HJ</w:t>
        </w:r>
      </w:hyperlink>
      <w:r>
        <w:noBreakHyphen/>
      </w:r>
      <w:r w:rsidRPr="004D4562">
        <w:t>9</w:t>
      </w:r>
    </w:p>
    <w:p w:rsidR="00CC6D96" w:rsidRDefault="00CC6D96" w:rsidP="00CC6D96">
      <w:pPr>
        <w:widowControl w:val="0"/>
        <w:tabs>
          <w:tab w:val="right" w:pos="1008"/>
          <w:tab w:val="left" w:pos="1152"/>
          <w:tab w:val="left" w:pos="1872"/>
          <w:tab w:val="left" w:pos="9187"/>
        </w:tabs>
        <w:ind w:left="2088" w:hanging="2088"/>
        <w:jc w:val="left"/>
      </w:pPr>
      <w:r>
        <w:tab/>
        <w:t>4/29/2009</w:t>
      </w:r>
      <w:r>
        <w:tab/>
        <w:t>House</w:t>
      </w:r>
      <w:r>
        <w:tab/>
      </w:r>
      <w:r w:rsidRPr="004D4562">
        <w:t xml:space="preserve">Referred to Committee on </w:t>
      </w:r>
      <w:r w:rsidRPr="004D4562">
        <w:rPr>
          <w:b/>
        </w:rPr>
        <w:t>Judiciary</w:t>
      </w:r>
      <w:r w:rsidRPr="004D4562">
        <w:t xml:space="preserve"> </w:t>
      </w:r>
      <w:hyperlink r:id="rId8" w:history="1">
        <w:r w:rsidRPr="009F521E">
          <w:rPr>
            <w:rStyle w:val="Hyperlink"/>
          </w:rPr>
          <w:t>HJ</w:t>
        </w:r>
      </w:hyperlink>
      <w:r>
        <w:noBreakHyphen/>
      </w:r>
      <w:r w:rsidRPr="004D4562">
        <w:t>10</w:t>
      </w:r>
    </w:p>
    <w:p w:rsidR="00CC6D96" w:rsidRDefault="00CC6D96" w:rsidP="00CC6D96">
      <w:pPr>
        <w:widowControl w:val="0"/>
        <w:tabs>
          <w:tab w:val="right" w:pos="1008"/>
          <w:tab w:val="left" w:pos="1152"/>
          <w:tab w:val="left" w:pos="1872"/>
          <w:tab w:val="left" w:pos="9187"/>
        </w:tabs>
        <w:ind w:left="2088" w:hanging="2088"/>
        <w:jc w:val="left"/>
      </w:pPr>
      <w:r>
        <w:tab/>
        <w:t>3/24/2010</w:t>
      </w:r>
      <w:r>
        <w:tab/>
        <w:t>House</w:t>
      </w:r>
      <w:r>
        <w:tab/>
      </w:r>
      <w:r w:rsidRPr="004D4562">
        <w:t xml:space="preserve">Committee report: Favorable </w:t>
      </w:r>
      <w:r w:rsidRPr="004D4562">
        <w:rPr>
          <w:b/>
        </w:rPr>
        <w:t>Judiciary</w:t>
      </w:r>
      <w:r w:rsidRPr="004D4562">
        <w:t xml:space="preserve"> </w:t>
      </w:r>
      <w:hyperlink r:id="rId9" w:history="1">
        <w:r w:rsidRPr="009F521E">
          <w:rPr>
            <w:rStyle w:val="Hyperlink"/>
          </w:rPr>
          <w:t>HJ</w:t>
        </w:r>
      </w:hyperlink>
      <w:r>
        <w:noBreakHyphen/>
      </w:r>
      <w:r w:rsidRPr="004D4562">
        <w:t>25</w:t>
      </w:r>
    </w:p>
    <w:p w:rsidR="00CC6D96" w:rsidRDefault="00CC6D96" w:rsidP="00CC6D96">
      <w:pPr>
        <w:widowControl w:val="0"/>
        <w:tabs>
          <w:tab w:val="right" w:pos="1008"/>
          <w:tab w:val="left" w:pos="1152"/>
          <w:tab w:val="left" w:pos="1872"/>
          <w:tab w:val="left" w:pos="9187"/>
        </w:tabs>
        <w:ind w:left="2088" w:hanging="2088"/>
        <w:jc w:val="left"/>
      </w:pPr>
      <w:r>
        <w:tab/>
        <w:t>4/14/2010</w:t>
      </w:r>
      <w:r>
        <w:tab/>
        <w:t>House</w:t>
      </w:r>
      <w:r>
        <w:tab/>
      </w:r>
      <w:r w:rsidRPr="004D4562">
        <w:t xml:space="preserve">Debate interrupted </w:t>
      </w:r>
      <w:hyperlink r:id="rId10" w:history="1">
        <w:r w:rsidRPr="009F521E">
          <w:rPr>
            <w:rStyle w:val="Hyperlink"/>
          </w:rPr>
          <w:t>HJ</w:t>
        </w:r>
      </w:hyperlink>
      <w:r>
        <w:noBreakHyphen/>
      </w:r>
      <w:r w:rsidRPr="004D4562">
        <w:t>34</w:t>
      </w:r>
    </w:p>
    <w:p w:rsidR="00CC6D96" w:rsidRDefault="00CC6D96" w:rsidP="00CC6D96">
      <w:pPr>
        <w:widowControl w:val="0"/>
        <w:tabs>
          <w:tab w:val="right" w:pos="1008"/>
          <w:tab w:val="left" w:pos="1152"/>
          <w:tab w:val="left" w:pos="1872"/>
          <w:tab w:val="left" w:pos="9187"/>
        </w:tabs>
        <w:ind w:left="2088" w:hanging="2088"/>
        <w:jc w:val="left"/>
      </w:pPr>
      <w:r>
        <w:tab/>
        <w:t>4/15/2010</w:t>
      </w:r>
      <w:r>
        <w:tab/>
        <w:t>House</w:t>
      </w:r>
      <w:r>
        <w:tab/>
      </w:r>
      <w:r w:rsidRPr="004D4562">
        <w:t xml:space="preserve">Debate adjourned until Tuesday, April 20, 2010 </w:t>
      </w:r>
      <w:hyperlink r:id="rId11" w:history="1">
        <w:r w:rsidRPr="009F521E">
          <w:rPr>
            <w:rStyle w:val="Hyperlink"/>
          </w:rPr>
          <w:t>HJ</w:t>
        </w:r>
      </w:hyperlink>
      <w:r>
        <w:noBreakHyphen/>
      </w:r>
      <w:r w:rsidRPr="004D4562">
        <w:t>38</w:t>
      </w:r>
    </w:p>
    <w:p w:rsidR="00CC6D96" w:rsidRDefault="00CC6D96" w:rsidP="00CC6D96">
      <w:pPr>
        <w:widowControl w:val="0"/>
        <w:tabs>
          <w:tab w:val="right" w:pos="1008"/>
          <w:tab w:val="left" w:pos="1152"/>
          <w:tab w:val="left" w:pos="1872"/>
          <w:tab w:val="left" w:pos="9187"/>
        </w:tabs>
        <w:ind w:left="2088" w:hanging="2088"/>
        <w:jc w:val="left"/>
      </w:pPr>
      <w:r>
        <w:tab/>
        <w:t>4/20/2010</w:t>
      </w:r>
      <w:r>
        <w:tab/>
        <w:t>House</w:t>
      </w:r>
      <w:r>
        <w:tab/>
      </w:r>
      <w:r w:rsidRPr="004D4562">
        <w:t xml:space="preserve">Debate adjourned until Wednesday, April 21, 2010 </w:t>
      </w:r>
      <w:hyperlink r:id="rId12" w:history="1">
        <w:r w:rsidRPr="009F521E">
          <w:rPr>
            <w:rStyle w:val="Hyperlink"/>
          </w:rPr>
          <w:t>HJ</w:t>
        </w:r>
      </w:hyperlink>
      <w:r>
        <w:noBreakHyphen/>
      </w:r>
      <w:r w:rsidRPr="004D4562">
        <w:t>13</w:t>
      </w:r>
    </w:p>
    <w:p w:rsidR="00CC6D96" w:rsidRDefault="00CC6D96" w:rsidP="00CC6D96">
      <w:pPr>
        <w:widowControl w:val="0"/>
        <w:tabs>
          <w:tab w:val="right" w:pos="1008"/>
          <w:tab w:val="left" w:pos="1152"/>
          <w:tab w:val="left" w:pos="1872"/>
          <w:tab w:val="left" w:pos="9187"/>
        </w:tabs>
        <w:ind w:left="2088" w:hanging="2088"/>
        <w:jc w:val="left"/>
      </w:pPr>
      <w:r>
        <w:tab/>
        <w:t>4/21/2010</w:t>
      </w:r>
      <w:r>
        <w:tab/>
        <w:t>House</w:t>
      </w:r>
      <w:r>
        <w:tab/>
      </w:r>
      <w:r w:rsidRPr="004D4562">
        <w:t xml:space="preserve">Debate adjourned </w:t>
      </w:r>
      <w:hyperlink r:id="rId13" w:history="1">
        <w:r w:rsidRPr="009F521E">
          <w:rPr>
            <w:rStyle w:val="Hyperlink"/>
          </w:rPr>
          <w:t>HJ</w:t>
        </w:r>
      </w:hyperlink>
      <w:r>
        <w:noBreakHyphen/>
      </w:r>
      <w:r w:rsidRPr="004D4562">
        <w:t>14</w:t>
      </w:r>
    </w:p>
    <w:p w:rsidR="00CC6D96" w:rsidRDefault="00CC6D96" w:rsidP="00CC6D96">
      <w:pPr>
        <w:widowControl w:val="0"/>
        <w:tabs>
          <w:tab w:val="right" w:pos="1008"/>
          <w:tab w:val="left" w:pos="1152"/>
          <w:tab w:val="left" w:pos="1872"/>
          <w:tab w:val="left" w:pos="9187"/>
        </w:tabs>
        <w:ind w:left="2088" w:hanging="2088"/>
        <w:jc w:val="left"/>
      </w:pPr>
      <w:r>
        <w:tab/>
        <w:t>4/21/2010</w:t>
      </w:r>
      <w:r>
        <w:tab/>
        <w:t>House</w:t>
      </w:r>
      <w:r>
        <w:tab/>
      </w:r>
      <w:r w:rsidRPr="004D4562">
        <w:t xml:space="preserve">Amended </w:t>
      </w:r>
      <w:hyperlink r:id="rId14" w:history="1">
        <w:r w:rsidRPr="009F521E">
          <w:rPr>
            <w:rStyle w:val="Hyperlink"/>
          </w:rPr>
          <w:t>HJ</w:t>
        </w:r>
      </w:hyperlink>
      <w:r>
        <w:noBreakHyphen/>
      </w:r>
      <w:r w:rsidRPr="004D4562">
        <w:t>33</w:t>
      </w:r>
    </w:p>
    <w:p w:rsidR="00CC6D96" w:rsidRDefault="00CC6D96" w:rsidP="00CC6D96">
      <w:pPr>
        <w:widowControl w:val="0"/>
        <w:tabs>
          <w:tab w:val="right" w:pos="1008"/>
          <w:tab w:val="left" w:pos="1152"/>
          <w:tab w:val="left" w:pos="1872"/>
          <w:tab w:val="left" w:pos="9187"/>
        </w:tabs>
        <w:ind w:left="2088" w:hanging="2088"/>
        <w:jc w:val="left"/>
      </w:pPr>
      <w:r>
        <w:tab/>
        <w:t>4/21/2010</w:t>
      </w:r>
      <w:r>
        <w:tab/>
        <w:t>House</w:t>
      </w:r>
      <w:r>
        <w:tab/>
      </w:r>
      <w:r w:rsidRPr="004D4562">
        <w:t xml:space="preserve">Read second time </w:t>
      </w:r>
      <w:hyperlink r:id="rId15" w:history="1">
        <w:r w:rsidRPr="009F521E">
          <w:rPr>
            <w:rStyle w:val="Hyperlink"/>
          </w:rPr>
          <w:t>HJ</w:t>
        </w:r>
      </w:hyperlink>
      <w:r>
        <w:noBreakHyphen/>
      </w:r>
      <w:r w:rsidRPr="004D4562">
        <w:t>33</w:t>
      </w:r>
    </w:p>
    <w:p w:rsidR="00CC6D96" w:rsidRDefault="00CC6D96" w:rsidP="00CC6D96">
      <w:pPr>
        <w:widowControl w:val="0"/>
        <w:tabs>
          <w:tab w:val="right" w:pos="1008"/>
          <w:tab w:val="left" w:pos="1152"/>
          <w:tab w:val="left" w:pos="1872"/>
          <w:tab w:val="left" w:pos="9187"/>
        </w:tabs>
        <w:ind w:left="2088" w:hanging="2088"/>
        <w:jc w:val="left"/>
      </w:pPr>
      <w:r>
        <w:tab/>
        <w:t>4/22/2010</w:t>
      </w:r>
      <w:r>
        <w:tab/>
        <w:t>House</w:t>
      </w:r>
      <w:r>
        <w:tab/>
      </w:r>
      <w:r w:rsidRPr="004D4562">
        <w:t xml:space="preserve">Read third time and sent to Senate </w:t>
      </w:r>
      <w:hyperlink r:id="rId16" w:history="1">
        <w:r w:rsidRPr="009F521E">
          <w:rPr>
            <w:rStyle w:val="Hyperlink"/>
          </w:rPr>
          <w:t>HJ</w:t>
        </w:r>
      </w:hyperlink>
      <w:r>
        <w:noBreakHyphen/>
      </w:r>
      <w:r w:rsidRPr="004D4562">
        <w:t>13</w:t>
      </w:r>
    </w:p>
    <w:p w:rsidR="00CC6D96" w:rsidRDefault="00CC6D96" w:rsidP="00CC6D96">
      <w:pPr>
        <w:widowControl w:val="0"/>
        <w:tabs>
          <w:tab w:val="right" w:pos="1008"/>
          <w:tab w:val="left" w:pos="1152"/>
          <w:tab w:val="left" w:pos="1872"/>
          <w:tab w:val="left" w:pos="9187"/>
        </w:tabs>
        <w:ind w:left="2088" w:hanging="2088"/>
        <w:jc w:val="left"/>
      </w:pPr>
      <w:r>
        <w:tab/>
        <w:t>4/22/2010</w:t>
      </w:r>
      <w:r>
        <w:tab/>
        <w:t>Senate</w:t>
      </w:r>
      <w:r>
        <w:tab/>
      </w:r>
      <w:r w:rsidRPr="004D4562">
        <w:t xml:space="preserve">Introduced and read first time </w:t>
      </w:r>
      <w:hyperlink r:id="rId17" w:history="1">
        <w:r w:rsidRPr="009F521E">
          <w:rPr>
            <w:rStyle w:val="Hyperlink"/>
          </w:rPr>
          <w:t>SJ</w:t>
        </w:r>
      </w:hyperlink>
      <w:r>
        <w:noBreakHyphen/>
      </w:r>
      <w:r w:rsidRPr="004D4562">
        <w:t>9</w:t>
      </w:r>
    </w:p>
    <w:p w:rsidR="00CC6D96" w:rsidRDefault="00CC6D96" w:rsidP="00CC6D96">
      <w:pPr>
        <w:widowControl w:val="0"/>
        <w:tabs>
          <w:tab w:val="right" w:pos="1008"/>
          <w:tab w:val="left" w:pos="1152"/>
          <w:tab w:val="left" w:pos="1872"/>
          <w:tab w:val="left" w:pos="9187"/>
        </w:tabs>
        <w:ind w:left="2088" w:hanging="2088"/>
        <w:jc w:val="left"/>
      </w:pPr>
      <w:r>
        <w:tab/>
        <w:t>4/22/2010</w:t>
      </w:r>
      <w:r>
        <w:tab/>
        <w:t>Senate</w:t>
      </w:r>
      <w:r>
        <w:tab/>
      </w:r>
      <w:r w:rsidRPr="004D4562">
        <w:t xml:space="preserve">Referred to Committee on </w:t>
      </w:r>
      <w:r w:rsidRPr="004D4562">
        <w:rPr>
          <w:b/>
        </w:rPr>
        <w:t>Judiciary</w:t>
      </w:r>
      <w:r w:rsidRPr="004D4562">
        <w:t xml:space="preserve"> </w:t>
      </w:r>
      <w:hyperlink r:id="rId18" w:history="1">
        <w:r w:rsidRPr="009F521E">
          <w:rPr>
            <w:rStyle w:val="Hyperlink"/>
          </w:rPr>
          <w:t>SJ</w:t>
        </w:r>
      </w:hyperlink>
      <w:r>
        <w:noBreakHyphen/>
      </w:r>
      <w:r w:rsidRPr="004D4562">
        <w:t>9</w:t>
      </w:r>
    </w:p>
    <w:p w:rsidR="00CC6D96" w:rsidRDefault="00CC6D96" w:rsidP="00CC6D96">
      <w:pPr>
        <w:widowControl w:val="0"/>
        <w:tabs>
          <w:tab w:val="right" w:pos="1008"/>
          <w:tab w:val="left" w:pos="1152"/>
          <w:tab w:val="left" w:pos="1872"/>
          <w:tab w:val="left" w:pos="9187"/>
        </w:tabs>
        <w:ind w:left="2088" w:hanging="2088"/>
        <w:jc w:val="left"/>
      </w:pPr>
    </w:p>
    <w:p w:rsidR="000E5342" w:rsidRDefault="000E5342">
      <w:pPr>
        <w:widowControl w:val="0"/>
        <w:tabs>
          <w:tab w:val="right" w:pos="1008"/>
          <w:tab w:val="left" w:pos="1152"/>
          <w:tab w:val="left" w:pos="1872"/>
          <w:tab w:val="left" w:pos="9187"/>
        </w:tabs>
        <w:ind w:left="2088" w:hanging="2088"/>
        <w:jc w:val="left"/>
      </w:pPr>
    </w:p>
    <w:p w:rsidR="000E5342" w:rsidRDefault="00966F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E5342" w:rsidRDefault="000E53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E5342" w:rsidRDefault="007108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9" w:history="1">
        <w:r w:rsidR="00966FE2">
          <w:rPr>
            <w:rStyle w:val="Hyperlink"/>
          </w:rPr>
          <w:t>4/29/2009</w:t>
        </w:r>
      </w:hyperlink>
    </w:p>
    <w:p w:rsidR="004F383D" w:rsidRDefault="0071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4F383D" w:rsidRPr="004F383D">
          <w:rPr>
            <w:rStyle w:val="Hyperlink"/>
          </w:rPr>
          <w:t>3/24/2010</w:t>
        </w:r>
      </w:hyperlink>
    </w:p>
    <w:p w:rsidR="008B25EF" w:rsidRDefault="0071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8B25EF" w:rsidRPr="008B25EF">
          <w:rPr>
            <w:rStyle w:val="Hyperlink"/>
          </w:rPr>
          <w:t>4/21/2010</w:t>
        </w:r>
      </w:hyperlink>
    </w:p>
    <w:p w:rsidR="000E5342" w:rsidRDefault="000E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5342" w:rsidRDefault="000E5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E5342">
          <w:pgSz w:w="12240" w:h="15840" w:code="1"/>
          <w:pgMar w:top="1080" w:right="1440" w:bottom="1080" w:left="1440" w:header="720" w:footer="720" w:gutter="0"/>
          <w:cols w:space="720"/>
          <w:noEndnote/>
          <w:docGrid w:linePitch="360"/>
        </w:sectPr>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B25EF" w:rsidRPr="0003510D"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2010</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Pr="0003510D" w:rsidRDefault="008B25EF" w:rsidP="0003510D">
      <w:pPr>
        <w:tabs>
          <w:tab w:val="right" w:pos="5933"/>
        </w:tabs>
        <w:suppressAutoHyphens/>
      </w:pPr>
      <w:r>
        <w:tab/>
      </w:r>
      <w:r>
        <w:rPr>
          <w:b/>
          <w:sz w:val="36"/>
        </w:rPr>
        <w:t>H. 3988</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rsidP="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Funderburk</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4/21/10--H.</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8B25EF" w:rsidRPr="0003510D" w:rsidRDefault="008B25EF" w:rsidP="0003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25EF" w:rsidSect="00EF3B9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noBreakHyphen/>
        <w:t>20</w:t>
      </w:r>
      <w:r>
        <w:noBreakHyphen/>
        <w:t>45, CODE OF LAWS OF SOUTH CAROLINA, 1976, RELATING TO ENFORCEMENT OF A LIEN IN CONNECTION WITH A SELF</w:t>
      </w:r>
      <w:r>
        <w:noBreakHyphen/>
        <w:t>SERVICE STORAGE FACILITY, SO AS TO PROVIDE FOR ANOTHER PROCEDURE FOR ENFORCEMENT OF A LIEN AGAINST A TITLED VEHICLE.</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20</w:t>
      </w:r>
      <w:r>
        <w:noBreakHyphen/>
        <w:t>45 of the 1976 Code, as added by Act 460 of 1986, is amended to read:</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39</w:t>
      </w:r>
      <w:r>
        <w:noBreakHyphen/>
        <w:t>20</w:t>
      </w:r>
      <w:r>
        <w:noBreakHyphen/>
        <w:t>45.</w:t>
      </w:r>
      <w:r>
        <w:tab/>
        <w:t xml:space="preserve"> </w:t>
      </w:r>
      <w:r>
        <w:rPr>
          <w:u w:val="single"/>
        </w:rPr>
        <w:t>(A)</w:t>
      </w:r>
      <w:r>
        <w:tab/>
      </w:r>
      <w:r w:rsidRPr="00E20DD2">
        <w:rPr>
          <w:szCs w:val="24"/>
        </w:rPr>
        <w:t xml:space="preserve">If occupant has been in default continuously for fifty days, owner may enforce its lien, </w:t>
      </w:r>
      <w:r w:rsidRPr="00E20DD2">
        <w:rPr>
          <w:strike/>
          <w:szCs w:val="24"/>
        </w:rPr>
        <w:t>provided</w:t>
      </w:r>
      <w:r w:rsidRPr="00E20DD2">
        <w:rPr>
          <w:szCs w:val="24"/>
        </w:rPr>
        <w:t xml:space="preserve"> </w:t>
      </w:r>
      <w:r w:rsidRPr="00E20DD2">
        <w:rPr>
          <w:szCs w:val="24"/>
          <w:u w:val="single"/>
        </w:rPr>
        <w:t>if the</w:t>
      </w:r>
      <w:r w:rsidRPr="00E20DD2">
        <w:rPr>
          <w:szCs w:val="24"/>
        </w:rPr>
        <w:t xml:space="preserve"> owner </w:t>
      </w:r>
      <w:r w:rsidRPr="00E20DD2">
        <w:rPr>
          <w:strike/>
          <w:szCs w:val="24"/>
        </w:rPr>
        <w:t>shall comply</w:t>
      </w:r>
      <w:r w:rsidRPr="00E20DD2">
        <w:rPr>
          <w:szCs w:val="24"/>
        </w:rPr>
        <w:t xml:space="preserve"> </w:t>
      </w:r>
      <w:r w:rsidRPr="00E20DD2">
        <w:rPr>
          <w:szCs w:val="24"/>
          <w:u w:val="single"/>
        </w:rPr>
        <w:t>complies</w:t>
      </w:r>
      <w:r w:rsidRPr="00E20DD2">
        <w:rPr>
          <w:szCs w:val="24"/>
        </w:rPr>
        <w:t xml:space="preserve"> with</w:t>
      </w:r>
      <w:r w:rsidRPr="00E20DD2">
        <w:rPr>
          <w:strike/>
          <w:szCs w:val="24"/>
        </w:rPr>
        <w:t>, during the fifty</w:t>
      </w:r>
      <w:r w:rsidRPr="00E20DD2">
        <w:rPr>
          <w:strike/>
          <w:szCs w:val="24"/>
        </w:rPr>
        <w:noBreakHyphen/>
        <w:t>day default period,</w:t>
      </w:r>
      <w:r w:rsidRPr="00E20DD2">
        <w:rPr>
          <w:szCs w:val="24"/>
        </w:rPr>
        <w:t xml:space="preserve"> the following procedure</w:t>
      </w:r>
      <w:r w:rsidRPr="00E20DD2">
        <w:rPr>
          <w:strike/>
          <w:szCs w:val="24"/>
        </w:rPr>
        <w:t>.</w:t>
      </w:r>
      <w:r w:rsidRPr="00E20DD2">
        <w:rPr>
          <w:szCs w:val="24"/>
        </w:rPr>
        <w:t xml:space="preserve"> </w:t>
      </w:r>
      <w:r w:rsidRPr="00E20DD2">
        <w:rPr>
          <w:szCs w:val="24"/>
          <w:u w:val="single"/>
        </w:rPr>
        <w:t>during the fifty</w:t>
      </w:r>
      <w:r w:rsidRPr="00E20DD2">
        <w:rPr>
          <w:szCs w:val="24"/>
          <w:u w:val="single"/>
        </w:rPr>
        <w:noBreakHyphen/>
        <w:t>day default period; except that if an item subject to the rental agreement is known to the owner as a titled vehicle, the item is subject to the requirements of Section 29</w:t>
      </w:r>
      <w:r w:rsidRPr="00E20DD2">
        <w:rPr>
          <w:szCs w:val="24"/>
          <w:u w:val="single"/>
        </w:rPr>
        <w:noBreakHyphen/>
        <w:t>15</w:t>
      </w:r>
      <w:r w:rsidRPr="00E20DD2">
        <w:rPr>
          <w:szCs w:val="24"/>
          <w:u w:val="single"/>
        </w:rPr>
        <w:noBreakHyphen/>
        <w:t xml:space="preserve">10 and the magistrate’s sale pursuant to that section.  For purposes of this section, ‘titled vehicle’ means a motor vehicle, trailer, mobile home, watercraft, or other item titled pursuant to the law of the State of initial titling.  </w:t>
      </w:r>
      <w:r w:rsidRPr="00E20DD2">
        <w:rPr>
          <w:u w:val="single"/>
        </w:rPr>
        <w:t>Notwithstanding the provisions of Section 29</w:t>
      </w:r>
      <w:r w:rsidRPr="00E20DD2">
        <w:rPr>
          <w:u w:val="single"/>
        </w:rPr>
        <w:noBreakHyphen/>
        <w:t>15</w:t>
      </w:r>
      <w:r w:rsidRPr="00E20DD2">
        <w:rPr>
          <w:u w:val="single"/>
        </w:rPr>
        <w:noBreakHyphen/>
        <w:t>10, any costs associated with completing a sale of titled property pursuant to this section must be paid by the purchaser of the titled property:</w:t>
      </w:r>
      <w:r w:rsidRPr="00E20DD2">
        <w:tab/>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 xml:space="preserve">The </w:t>
      </w:r>
      <w:r>
        <w:rPr>
          <w:szCs w:val="24"/>
          <w:u w:val="single"/>
        </w:rPr>
        <w:t>owner shall notify the</w:t>
      </w:r>
      <w:r>
        <w:rPr>
          <w:szCs w:val="24"/>
        </w:rPr>
        <w:t xml:space="preserve"> occupant </w:t>
      </w:r>
      <w:r>
        <w:rPr>
          <w:strike/>
          <w:szCs w:val="24"/>
        </w:rPr>
        <w:t>must be notified</w:t>
      </w:r>
      <w:r>
        <w:rPr>
          <w:szCs w:val="24"/>
        </w:rPr>
        <w:t xml:space="preserve">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Owner’s notice to occupant </w:t>
      </w:r>
      <w:r>
        <w:rPr>
          <w:strike/>
          <w:szCs w:val="24"/>
        </w:rPr>
        <w:t>shall</w:t>
      </w:r>
      <w:r>
        <w:rPr>
          <w:szCs w:val="24"/>
        </w:rPr>
        <w:t xml:space="preserve"> </w:t>
      </w:r>
      <w:r>
        <w:rPr>
          <w:szCs w:val="24"/>
          <w:u w:val="single"/>
        </w:rPr>
        <w:t>must</w:t>
      </w:r>
      <w:r>
        <w:rPr>
          <w:szCs w:val="24"/>
        </w:rPr>
        <w:t xml:space="preserve"> include an itemized statement of the owner’s claim showing the sum due</w:t>
      </w:r>
      <w:r>
        <w:rPr>
          <w:strike/>
          <w:szCs w:val="24"/>
        </w:rPr>
        <w:t>,</w:t>
      </w:r>
      <w:r>
        <w:rPr>
          <w:szCs w:val="24"/>
        </w:rPr>
        <w:t xml:space="preserve"> at the time of the notice</w:t>
      </w:r>
      <w:r>
        <w:rPr>
          <w:strike/>
          <w:szCs w:val="24"/>
        </w:rPr>
        <w:t>,</w:t>
      </w:r>
      <w:r>
        <w:rPr>
          <w:szCs w:val="24"/>
        </w:rPr>
        <w:t xml:space="preserve"> and the date </w:t>
      </w:r>
      <w:r>
        <w:rPr>
          <w:strike/>
          <w:szCs w:val="24"/>
        </w:rPr>
        <w:t>when</w:t>
      </w:r>
      <w:r>
        <w:rPr>
          <w:szCs w:val="24"/>
        </w:rPr>
        <w:t xml:space="preserve"> the sum became due.  It </w:t>
      </w:r>
      <w:r>
        <w:rPr>
          <w:strike/>
          <w:szCs w:val="24"/>
        </w:rPr>
        <w:t>shall</w:t>
      </w:r>
      <w:r>
        <w:rPr>
          <w:szCs w:val="24"/>
        </w:rPr>
        <w:t xml:space="preserve"> </w:t>
      </w:r>
      <w:r>
        <w:rPr>
          <w:szCs w:val="24"/>
          <w:u w:val="single"/>
        </w:rPr>
        <w:t>must describe</w:t>
      </w:r>
      <w:r>
        <w:rPr>
          <w:szCs w:val="24"/>
        </w:rPr>
        <w:t xml:space="preserve"> briefly and generally </w:t>
      </w:r>
      <w:r>
        <w:rPr>
          <w:strike/>
          <w:szCs w:val="24"/>
        </w:rPr>
        <w:t>describe</w:t>
      </w:r>
      <w:r>
        <w:rPr>
          <w:szCs w:val="24"/>
        </w:rPr>
        <w:t xml:space="preserve"> the personal property subject to the lien.  The description must be reasonably adequate to permit the person notified to identify it, except that </w:t>
      </w:r>
      <w:r>
        <w:rPr>
          <w:strike/>
          <w:szCs w:val="24"/>
        </w:rPr>
        <w:t>any</w:t>
      </w:r>
      <w:r>
        <w:rPr>
          <w:szCs w:val="24"/>
        </w:rPr>
        <w:t xml:space="preserve"> </w:t>
      </w:r>
      <w:r>
        <w:rPr>
          <w:szCs w:val="24"/>
          <w:u w:val="single"/>
        </w:rPr>
        <w:t>a</w:t>
      </w:r>
      <w:r>
        <w:rPr>
          <w:szCs w:val="24"/>
        </w:rPr>
        <w:t xml:space="preserve"> container </w:t>
      </w:r>
      <w:r>
        <w:rPr>
          <w:strike/>
          <w:szCs w:val="24"/>
        </w:rPr>
        <w:t>included</w:t>
      </w:r>
      <w:r>
        <w:rPr>
          <w:szCs w:val="24"/>
        </w:rPr>
        <w:t xml:space="preserve"> </w:t>
      </w:r>
      <w:r>
        <w:rPr>
          <w:szCs w:val="24"/>
          <w:u w:val="single"/>
        </w:rPr>
        <w:t>including</w:t>
      </w:r>
      <w:r>
        <w:rPr>
          <w:szCs w:val="24"/>
        </w:rPr>
        <w:t xml:space="preserve">, but not limited to, a trunk, valise, or box that is locked, fastened, sealed, or tied in a manner </w:t>
      </w:r>
      <w:r>
        <w:rPr>
          <w:strike/>
          <w:szCs w:val="24"/>
        </w:rPr>
        <w:t>which</w:t>
      </w:r>
      <w:r>
        <w:rPr>
          <w:szCs w:val="24"/>
        </w:rPr>
        <w:t xml:space="preserve"> </w:t>
      </w:r>
      <w:r>
        <w:rPr>
          <w:szCs w:val="24"/>
          <w:u w:val="single"/>
        </w:rPr>
        <w:t>that</w:t>
      </w:r>
      <w:r>
        <w:rPr>
          <w:szCs w:val="24"/>
        </w:rPr>
        <w:t xml:space="preserve"> deters immediate access to its contents may be described as such without describing its contents.  The inventory of </w:t>
      </w:r>
      <w:r>
        <w:rPr>
          <w:strike/>
          <w:szCs w:val="24"/>
        </w:rPr>
        <w:t>any</w:t>
      </w:r>
      <w:r>
        <w:rPr>
          <w:szCs w:val="24"/>
        </w:rPr>
        <w:t xml:space="preserve"> property taken under the provisions of this section must be done by the owner or the owner’s agent with at least one other person present.  Owner’s notice </w:t>
      </w:r>
      <w:r>
        <w:rPr>
          <w:strike/>
          <w:szCs w:val="24"/>
        </w:rPr>
        <w:t>shall</w:t>
      </w:r>
      <w:r>
        <w:rPr>
          <w:szCs w:val="24"/>
        </w:rPr>
        <w:t xml:space="preserve"> </w:t>
      </w:r>
      <w:r>
        <w:rPr>
          <w:szCs w:val="24"/>
          <w:u w:val="single"/>
        </w:rPr>
        <w:t>must</w:t>
      </w:r>
      <w:r>
        <w:t xml:space="preserve"> </w:t>
      </w:r>
      <w:r>
        <w:rPr>
          <w:szCs w:val="24"/>
        </w:rPr>
        <w:t xml:space="preserve">notify occupant of denial of access to the personal property and provide the name, street address, and telephone number of the owner or its designated agent, whom the occupant may contact to respond to this notice.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Owner’s notice </w:t>
      </w:r>
      <w:r>
        <w:rPr>
          <w:strike/>
          <w:szCs w:val="24"/>
        </w:rPr>
        <w:t>shall</w:t>
      </w:r>
      <w:r>
        <w:rPr>
          <w:szCs w:val="24"/>
        </w:rPr>
        <w:t xml:space="preserve"> </w:t>
      </w:r>
      <w:r>
        <w:rPr>
          <w:szCs w:val="24"/>
          <w:u w:val="single"/>
        </w:rPr>
        <w:t>must</w:t>
      </w:r>
      <w:r>
        <w:rPr>
          <w:szCs w:val="24"/>
        </w:rPr>
        <w:t xml:space="preserve"> demand payment within a specified time, not less than fourteen days after delivery of the notice.  It </w:t>
      </w:r>
      <w:r>
        <w:rPr>
          <w:strike/>
          <w:szCs w:val="24"/>
        </w:rPr>
        <w:t>shall</w:t>
      </w:r>
      <w:r>
        <w:rPr>
          <w:szCs w:val="24"/>
        </w:rPr>
        <w:t xml:space="preserve"> </w:t>
      </w:r>
      <w:r>
        <w:rPr>
          <w:szCs w:val="24"/>
          <w:u w:val="single"/>
        </w:rPr>
        <w:t>must</w:t>
      </w:r>
      <w:r>
        <w:rPr>
          <w:szCs w:val="24"/>
        </w:rPr>
        <w:t xml:space="preserve"> state that, unless the claim is paid within the time stated in the notice, the personal property will be advertised for public sale to the highest bidder, and </w:t>
      </w:r>
      <w:r>
        <w:rPr>
          <w:strike/>
          <w:szCs w:val="24"/>
        </w:rPr>
        <w:t>will be</w:t>
      </w:r>
      <w:r>
        <w:rPr>
          <w:szCs w:val="24"/>
        </w:rPr>
        <w:t xml:space="preserve"> sold at public sale to the highest bidder at a specified time and place.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After the expiration of the fifty</w:t>
      </w:r>
      <w:r>
        <w:rPr>
          <w:szCs w:val="24"/>
        </w:rPr>
        <w:noBreakHyphen/>
        <w:t>day default period, the owner shall publish an advertisement of the public sale to the highest bidder once a week for two consecutive weeks in a newspaper of general circulation where the self</w:t>
      </w:r>
      <w:r>
        <w:rPr>
          <w:szCs w:val="24"/>
        </w:rPr>
        <w:noBreakHyphen/>
        <w:t xml:space="preserve">service storage facility is located.  The advertisement </w:t>
      </w:r>
      <w:r>
        <w:rPr>
          <w:strike/>
          <w:szCs w:val="24"/>
        </w:rPr>
        <w:t>shall</w:t>
      </w:r>
      <w:r>
        <w:rPr>
          <w:szCs w:val="24"/>
        </w:rPr>
        <w:t xml:space="preserve"> </w:t>
      </w:r>
      <w:r>
        <w:rPr>
          <w:szCs w:val="24"/>
          <w:u w:val="single"/>
        </w:rPr>
        <w:t>must</w:t>
      </w:r>
      <w:r>
        <w:rPr>
          <w:szCs w:val="24"/>
        </w:rPr>
        <w:t xml:space="preserve"> include:  a brief and general description of the personal property, reasonably adequate to permit its identification;  the address of the self</w:t>
      </w:r>
      <w:r>
        <w:rPr>
          <w:szCs w:val="24"/>
        </w:rPr>
        <w:noBreakHyphen/>
        <w:t xml:space="preserve">service storage facility and the number, if any, of the space where the personal property is located, and the name of the occupant;  and the time, place, and manner of the public sale.  The public sale to the highest bidder </w:t>
      </w:r>
      <w:r>
        <w:rPr>
          <w:strike/>
          <w:szCs w:val="24"/>
        </w:rPr>
        <w:t>shall</w:t>
      </w:r>
      <w:r>
        <w:rPr>
          <w:szCs w:val="24"/>
        </w:rPr>
        <w:t xml:space="preserve"> </w:t>
      </w:r>
      <w:r>
        <w:rPr>
          <w:szCs w:val="24"/>
          <w:u w:val="single"/>
        </w:rPr>
        <w:t>must</w:t>
      </w:r>
      <w:r>
        <w:rPr>
          <w:szCs w:val="24"/>
        </w:rPr>
        <w:t xml:space="preserve"> take place not sooner than fifteen days after the first publication.  If there is no newspaper of general circulation where the self</w:t>
      </w:r>
      <w:r>
        <w:rPr>
          <w:szCs w:val="24"/>
        </w:rPr>
        <w:noBreakHyphen/>
        <w:t xml:space="preserve">service storage facility is located, the advertisement must be posted at least fifteen days before the date of the public sale and in </w:t>
      </w:r>
      <w:r>
        <w:rPr>
          <w:strike/>
          <w:szCs w:val="24"/>
        </w:rPr>
        <w:t>not less</w:t>
      </w:r>
      <w:r>
        <w:rPr>
          <w:szCs w:val="24"/>
        </w:rPr>
        <w:t xml:space="preserve"> </w:t>
      </w:r>
      <w:r>
        <w:rPr>
          <w:szCs w:val="24"/>
          <w:u w:val="single"/>
        </w:rPr>
        <w:t>no fewer</w:t>
      </w:r>
      <w:r>
        <w:rPr>
          <w:szCs w:val="24"/>
        </w:rPr>
        <w:t xml:space="preserve"> than six conspicuous places in the neighborhood where the self</w:t>
      </w:r>
      <w:r>
        <w:rPr>
          <w:szCs w:val="24"/>
        </w:rPr>
        <w:noBreakHyphen/>
        <w:t xml:space="preserve">service storage facility is located.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If no one purchases the property at the public sale and if the owner has complied with the </w:t>
      </w:r>
      <w:r>
        <w:rPr>
          <w:strike/>
          <w:szCs w:val="24"/>
        </w:rPr>
        <w:t>foregoing procedures</w:t>
      </w:r>
      <w:r>
        <w:rPr>
          <w:szCs w:val="24"/>
        </w:rPr>
        <w:t xml:space="preserve"> </w:t>
      </w:r>
      <w:r>
        <w:rPr>
          <w:szCs w:val="24"/>
          <w:u w:val="single"/>
        </w:rPr>
        <w:t>subsections (A) and (B)</w:t>
      </w:r>
      <w:r>
        <w:rPr>
          <w:szCs w:val="24"/>
        </w:rPr>
        <w:t xml:space="preserve">, the owner may otherwise dispose of the property and shall notify the occupant of the action taken.  </w:t>
      </w:r>
      <w:r>
        <w:rPr>
          <w:strike/>
          <w:szCs w:val="24"/>
        </w:rPr>
        <w:t>Any</w:t>
      </w:r>
      <w:r>
        <w:rPr>
          <w:szCs w:val="24"/>
        </w:rPr>
        <w:t xml:space="preserve"> </w:t>
      </w:r>
      <w:r>
        <w:rPr>
          <w:szCs w:val="24"/>
          <w:u w:val="single"/>
        </w:rPr>
        <w:t>A</w:t>
      </w:r>
      <w:r>
        <w:rPr>
          <w:szCs w:val="24"/>
        </w:rPr>
        <w:t xml:space="preserve"> sale or disposition of the personal property must be held at the self</w:t>
      </w:r>
      <w:r>
        <w:rPr>
          <w:szCs w:val="24"/>
        </w:rPr>
        <w:noBreakHyphen/>
        <w:t xml:space="preserve">service storage facility or at the </w:t>
      </w:r>
      <w:r>
        <w:rPr>
          <w:strike/>
          <w:szCs w:val="24"/>
        </w:rPr>
        <w:t>nearest</w:t>
      </w:r>
      <w:r>
        <w:rPr>
          <w:szCs w:val="24"/>
        </w:rPr>
        <w:t xml:space="preserve"> suitable place </w:t>
      </w:r>
      <w:r>
        <w:rPr>
          <w:szCs w:val="24"/>
          <w:u w:val="single"/>
        </w:rPr>
        <w:t>nearest</w:t>
      </w:r>
      <w:r>
        <w:rPr>
          <w:szCs w:val="24"/>
        </w:rPr>
        <w:t xml:space="preserve"> to where the personal property is held or stored.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Before any sale or other disposition of personal property pursuant to this agreement, the occupant may pay the amount necessary to satisfy the lien and the reasonable expenses incurred</w:t>
      </w:r>
      <w:r>
        <w:rPr>
          <w:strike/>
          <w:szCs w:val="24"/>
        </w:rPr>
        <w:t>, and by that</w:t>
      </w:r>
      <w:r>
        <w:rPr>
          <w:szCs w:val="24"/>
          <w:u w:val="single"/>
        </w:rPr>
        <w:t>.  That</w:t>
      </w:r>
      <w:r>
        <w:rPr>
          <w:szCs w:val="24"/>
        </w:rPr>
        <w:t xml:space="preserve"> action </w:t>
      </w:r>
      <w:r>
        <w:rPr>
          <w:strike/>
          <w:szCs w:val="24"/>
        </w:rPr>
        <w:t>redeem</w:t>
      </w:r>
      <w:r>
        <w:rPr>
          <w:szCs w:val="24"/>
        </w:rPr>
        <w:t xml:space="preserve"> </w:t>
      </w:r>
      <w:r>
        <w:rPr>
          <w:szCs w:val="24"/>
          <w:u w:val="single"/>
        </w:rPr>
        <w:t>redeems</w:t>
      </w:r>
      <w:r>
        <w:rPr>
          <w:szCs w:val="24"/>
        </w:rPr>
        <w:t xml:space="preserve"> the personal property and after that the owner </w:t>
      </w:r>
      <w:r>
        <w:rPr>
          <w:strike/>
          <w:szCs w:val="24"/>
        </w:rPr>
        <w:t>shall have</w:t>
      </w:r>
      <w:r>
        <w:rPr>
          <w:szCs w:val="24"/>
        </w:rPr>
        <w:t xml:space="preserve"> </w:t>
      </w:r>
      <w:r>
        <w:rPr>
          <w:szCs w:val="24"/>
          <w:u w:val="single"/>
        </w:rPr>
        <w:t>has</w:t>
      </w:r>
      <w:r>
        <w:rPr>
          <w:szCs w:val="24"/>
        </w:rPr>
        <w:t xml:space="preserve"> no liability to any person with respect to the personal property.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 xml:space="preserve">A purchaser in good faith of the personal property sold to satisfy owner’s lien takes the property subject to </w:t>
      </w:r>
      <w:r>
        <w:rPr>
          <w:strike/>
          <w:szCs w:val="24"/>
        </w:rPr>
        <w:t>any</w:t>
      </w:r>
      <w:r>
        <w:rPr>
          <w:szCs w:val="24"/>
        </w:rPr>
        <w:t xml:space="preserve"> other liens or security interests </w:t>
      </w:r>
      <w:r>
        <w:rPr>
          <w:strike/>
          <w:szCs w:val="24"/>
        </w:rPr>
        <w:t>which</w:t>
      </w:r>
      <w:r>
        <w:rPr>
          <w:szCs w:val="24"/>
        </w:rPr>
        <w:t xml:space="preserve"> </w:t>
      </w:r>
      <w:r>
        <w:rPr>
          <w:szCs w:val="24"/>
          <w:u w:val="single"/>
        </w:rPr>
        <w:t>that</w:t>
      </w:r>
      <w:r>
        <w:rPr>
          <w:szCs w:val="24"/>
        </w:rPr>
        <w:t xml:space="preserve"> are perfected and recorded or liens by </w:t>
      </w:r>
      <w:r>
        <w:rPr>
          <w:strike/>
          <w:szCs w:val="24"/>
        </w:rPr>
        <w:t>any</w:t>
      </w:r>
      <w:r>
        <w:rPr>
          <w:szCs w:val="24"/>
        </w:rPr>
        <w:t xml:space="preserve"> </w:t>
      </w:r>
      <w:r>
        <w:rPr>
          <w:szCs w:val="24"/>
          <w:u w:val="single"/>
        </w:rPr>
        <w:t>a</w:t>
      </w:r>
      <w:r>
        <w:rPr>
          <w:szCs w:val="24"/>
        </w:rPr>
        <w:t xml:space="preserve"> lienholder with an interest in the property of </w:t>
      </w:r>
      <w:r>
        <w:rPr>
          <w:strike/>
          <w:szCs w:val="24"/>
        </w:rPr>
        <w:t>whom</w:t>
      </w:r>
      <w:r>
        <w:rPr>
          <w:szCs w:val="24"/>
        </w:rPr>
        <w:t xml:space="preserve"> </w:t>
      </w:r>
      <w:r>
        <w:rPr>
          <w:szCs w:val="24"/>
          <w:u w:val="single"/>
        </w:rPr>
        <w:t>which</w:t>
      </w:r>
      <w:r>
        <w:rPr>
          <w:szCs w:val="24"/>
        </w:rPr>
        <w:t xml:space="preserve">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owner has knowledge either through the disclosure provision of the rental agreement or through other written notice. </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(F)</w:t>
      </w:r>
      <w:r>
        <w:rPr>
          <w:szCs w:val="24"/>
        </w:rPr>
        <w:tab/>
        <w:t xml:space="preserve"> </w:t>
      </w:r>
      <w:r>
        <w:rPr>
          <w:strike/>
          <w:szCs w:val="24"/>
        </w:rPr>
        <w:t>In the event of a sale, the</w:t>
      </w:r>
      <w:r>
        <w:rPr>
          <w:szCs w:val="24"/>
        </w:rPr>
        <w:t xml:space="preserve"> </w:t>
      </w:r>
      <w:r>
        <w:rPr>
          <w:szCs w:val="24"/>
          <w:u w:val="single"/>
        </w:rPr>
        <w:t>The</w:t>
      </w:r>
      <w:r>
        <w:rPr>
          <w:szCs w:val="24"/>
        </w:rPr>
        <w:t xml:space="preserve"> owner may satisfy his lien from the proceeds of the sale.  The owner shall hold the balance of the proceeds, if any, for the occupant or </w:t>
      </w:r>
      <w:r>
        <w:rPr>
          <w:strike/>
          <w:szCs w:val="24"/>
        </w:rPr>
        <w:t>any</w:t>
      </w:r>
      <w:r>
        <w:rPr>
          <w:szCs w:val="24"/>
        </w:rPr>
        <w:t xml:space="preserve"> </w:t>
      </w:r>
      <w:r>
        <w:rPr>
          <w:szCs w:val="24"/>
          <w:u w:val="single"/>
        </w:rPr>
        <w:t>a</w:t>
      </w:r>
      <w:r>
        <w:rPr>
          <w:szCs w:val="24"/>
        </w:rPr>
        <w:t xml:space="preserve"> notified, secured interest holder.  If not claimed within two years of the date of sale, the balance of the proceeds must be disposed of in accordance with Chapter 18 </w:t>
      </w:r>
      <w:r>
        <w:rPr>
          <w:strike/>
          <w:szCs w:val="24"/>
        </w:rPr>
        <w:t>of</w:t>
      </w:r>
      <w:r>
        <w:rPr>
          <w:szCs w:val="24"/>
          <w:u w:val="single"/>
        </w:rPr>
        <w:t>,</w:t>
      </w:r>
      <w:r>
        <w:rPr>
          <w:szCs w:val="24"/>
        </w:rPr>
        <w:t xml:space="preserve"> Title 27.  </w:t>
      </w:r>
      <w:r>
        <w:rPr>
          <w:strike/>
          <w:szCs w:val="24"/>
        </w:rPr>
        <w:t>In no event may the</w:t>
      </w:r>
      <w:r>
        <w:rPr>
          <w:szCs w:val="24"/>
        </w:rPr>
        <w:t xml:space="preserve"> </w:t>
      </w:r>
      <w:r>
        <w:rPr>
          <w:szCs w:val="24"/>
          <w:u w:val="single"/>
        </w:rPr>
        <w:t>The</w:t>
      </w:r>
      <w:r>
        <w:rPr>
          <w:szCs w:val="24"/>
        </w:rPr>
        <w:t xml:space="preserve"> owner’s liability </w:t>
      </w:r>
      <w:r>
        <w:rPr>
          <w:szCs w:val="24"/>
          <w:u w:val="single"/>
        </w:rPr>
        <w:t>does not</w:t>
      </w:r>
      <w:r>
        <w:rPr>
          <w:szCs w:val="24"/>
        </w:rPr>
        <w:t xml:space="preserve"> exceed the proceeds of the sale.”</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enforcements initiated and agreements entered into after that date.</w:t>
      </w:r>
    </w:p>
    <w:p w:rsidR="008B25EF" w:rsidRDefault="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5342" w:rsidRDefault="000E5342" w:rsidP="008B2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E5342" w:rsidSect="00EF3B9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342" w:rsidRDefault="00966FE2">
      <w:r>
        <w:separator/>
      </w:r>
    </w:p>
  </w:endnote>
  <w:endnote w:type="continuationSeparator" w:id="0">
    <w:p w:rsidR="000E5342" w:rsidRDefault="00966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A3C095-3024-4CC8-AF54-584D805FEF02}"/>
    <w:embedBold r:id="rId2" w:fontKey="{FA2B8E22-0CEE-45AD-8F94-0A4297BC0540}"/>
  </w:font>
  <w:font w:name="Calibri">
    <w:panose1 w:val="020F0502020204030204"/>
    <w:charset w:val="00"/>
    <w:family w:val="swiss"/>
    <w:pitch w:val="variable"/>
    <w:sig w:usb0="E10002FF" w:usb1="4000ACFF" w:usb2="00000009" w:usb3="00000000" w:csb0="0000019F" w:csb1="00000000"/>
    <w:embedRegular r:id="rId3" w:fontKey="{C97B5591-381E-41E0-B0D8-B61B98F81B1A}"/>
  </w:font>
  <w:font w:name="Cambria">
    <w:panose1 w:val="02040503050406030204"/>
    <w:charset w:val="00"/>
    <w:family w:val="roman"/>
    <w:pitch w:val="variable"/>
    <w:sig w:usb0="E00002FF" w:usb1="400004FF" w:usb2="00000000" w:usb3="00000000" w:csb0="0000019F" w:csb1="00000000"/>
    <w:embedRegular r:id="rId4" w:fontKey="{60654069-A4CB-4C30-B3AC-8E49A533E8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5EF" w:rsidRDefault="008B25EF">
    <w:pPr>
      <w:pStyle w:val="Footer"/>
      <w:tabs>
        <w:tab w:val="clear" w:pos="4680"/>
        <w:tab w:val="clear" w:pos="9360"/>
        <w:tab w:val="center" w:pos="2995"/>
      </w:tabs>
      <w:spacing w:before="120"/>
    </w:pPr>
    <w:r>
      <w:t>[3988-</w:t>
    </w:r>
    <w:r w:rsidR="00710832">
      <w:fldChar w:fldCharType="begin"/>
    </w:r>
    <w:r w:rsidR="00710832">
      <w:instrText xml:space="preserve"> PAGE  \* MERGEFORMAT </w:instrText>
    </w:r>
    <w:r w:rsidR="00710832">
      <w:fldChar w:fldCharType="separate"/>
    </w:r>
    <w:r w:rsidR="00710832">
      <w:rPr>
        <w:noProof/>
      </w:rPr>
      <w:t>1</w:t>
    </w:r>
    <w:r w:rsidR="0071083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B98" w:rsidRDefault="008B25EF">
    <w:pPr>
      <w:pStyle w:val="Footer"/>
      <w:tabs>
        <w:tab w:val="clear" w:pos="4680"/>
        <w:tab w:val="clear" w:pos="9360"/>
        <w:tab w:val="center" w:pos="2995"/>
      </w:tabs>
      <w:spacing w:before="120"/>
    </w:pPr>
    <w:r>
      <w:t>[3988]</w:t>
    </w:r>
    <w:r>
      <w:tab/>
    </w:r>
    <w:r w:rsidR="00B167E0">
      <w:fldChar w:fldCharType="begin"/>
    </w:r>
    <w:r>
      <w:instrText xml:space="preserve"> PAGE  \* MERGEFORMAT </w:instrText>
    </w:r>
    <w:r w:rsidR="00B167E0">
      <w:fldChar w:fldCharType="separate"/>
    </w:r>
    <w:r>
      <w:rPr>
        <w:noProof/>
      </w:rPr>
      <w:t>3</w:t>
    </w:r>
    <w:r w:rsidR="00B167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342" w:rsidRDefault="00966FE2">
      <w:r>
        <w:separator/>
      </w:r>
    </w:p>
  </w:footnote>
  <w:footnote w:type="continuationSeparator" w:id="0">
    <w:p w:rsidR="000E5342" w:rsidRDefault="00966F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06MM09"/>
    <w:docVar w:name="CoverBillType" w:val="b"/>
    <w:docVar w:name="docpath" w:val="L:\Council\bills\AGM\19406MM09.DOCX"/>
    <w:docVar w:name="dvBillNumber" w:val="3988"/>
    <w:docVar w:name="dvBillNumberPrefix" w:val="H. "/>
    <w:docVar w:name="dvOriginalBody" w:val="House"/>
    <w:docVar w:name="dvSteno" w:val="AGM"/>
    <w:docVar w:name="NameofBody" w:val="h"/>
    <w:docVar w:name="vgroup2" w:val="Council"/>
  </w:docVars>
  <w:rsids>
    <w:rsidRoot w:val="000E5342"/>
    <w:rsid w:val="00011AE8"/>
    <w:rsid w:val="000C3DF2"/>
    <w:rsid w:val="000E1327"/>
    <w:rsid w:val="000E5342"/>
    <w:rsid w:val="0012240E"/>
    <w:rsid w:val="001443B4"/>
    <w:rsid w:val="002B7784"/>
    <w:rsid w:val="00305A95"/>
    <w:rsid w:val="003922EC"/>
    <w:rsid w:val="00406E09"/>
    <w:rsid w:val="004A5C7F"/>
    <w:rsid w:val="004F383D"/>
    <w:rsid w:val="00514699"/>
    <w:rsid w:val="006931C6"/>
    <w:rsid w:val="00710832"/>
    <w:rsid w:val="0071315D"/>
    <w:rsid w:val="00716910"/>
    <w:rsid w:val="00743668"/>
    <w:rsid w:val="007922EE"/>
    <w:rsid w:val="007B20B2"/>
    <w:rsid w:val="008B25EF"/>
    <w:rsid w:val="009032B3"/>
    <w:rsid w:val="00917843"/>
    <w:rsid w:val="00966FE2"/>
    <w:rsid w:val="009D2F6D"/>
    <w:rsid w:val="009F521E"/>
    <w:rsid w:val="00A41557"/>
    <w:rsid w:val="00AC70D5"/>
    <w:rsid w:val="00B167E0"/>
    <w:rsid w:val="00B6450C"/>
    <w:rsid w:val="00BA2A79"/>
    <w:rsid w:val="00BB1FA7"/>
    <w:rsid w:val="00BB334B"/>
    <w:rsid w:val="00BB601A"/>
    <w:rsid w:val="00BE10D5"/>
    <w:rsid w:val="00CB0555"/>
    <w:rsid w:val="00CC6D96"/>
    <w:rsid w:val="00D30590"/>
    <w:rsid w:val="00D6175A"/>
    <w:rsid w:val="00D81626"/>
    <w:rsid w:val="00DE35E6"/>
    <w:rsid w:val="00E539CA"/>
    <w:rsid w:val="00E6503C"/>
    <w:rsid w:val="00F57531"/>
    <w:rsid w:val="00FC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5A8E33-3B43-4B10-A355-BBAA68B8D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3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E53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342"/>
    <w:rPr>
      <w:rFonts w:eastAsia="Times New Roman" w:cs="Times New Roman"/>
      <w:b/>
      <w:sz w:val="30"/>
      <w:szCs w:val="20"/>
    </w:rPr>
  </w:style>
  <w:style w:type="paragraph" w:styleId="Header">
    <w:name w:val="header"/>
    <w:basedOn w:val="Normal"/>
    <w:link w:val="HeaderChar"/>
    <w:uiPriority w:val="99"/>
    <w:semiHidden/>
    <w:unhideWhenUsed/>
    <w:rsid w:val="000E5342"/>
    <w:pPr>
      <w:tabs>
        <w:tab w:val="center" w:pos="4320"/>
        <w:tab w:val="right" w:pos="8640"/>
      </w:tabs>
    </w:pPr>
  </w:style>
  <w:style w:type="character" w:customStyle="1" w:styleId="HeaderChar">
    <w:name w:val="Header Char"/>
    <w:basedOn w:val="DefaultParagraphFont"/>
    <w:link w:val="Header"/>
    <w:uiPriority w:val="99"/>
    <w:semiHidden/>
    <w:rsid w:val="000E5342"/>
    <w:rPr>
      <w:rFonts w:eastAsia="Times New Roman" w:cs="Times New Roman"/>
      <w:szCs w:val="20"/>
    </w:rPr>
  </w:style>
  <w:style w:type="paragraph" w:styleId="Footer">
    <w:name w:val="footer"/>
    <w:basedOn w:val="Normal"/>
    <w:link w:val="FooterChar"/>
    <w:uiPriority w:val="99"/>
    <w:unhideWhenUsed/>
    <w:rsid w:val="000E5342"/>
    <w:pPr>
      <w:tabs>
        <w:tab w:val="center" w:pos="4680"/>
        <w:tab w:val="right" w:pos="9360"/>
      </w:tabs>
    </w:pPr>
  </w:style>
  <w:style w:type="character" w:customStyle="1" w:styleId="FooterChar">
    <w:name w:val="Footer Char"/>
    <w:basedOn w:val="DefaultParagraphFont"/>
    <w:link w:val="Footer"/>
    <w:uiPriority w:val="99"/>
    <w:rsid w:val="000E5342"/>
    <w:rPr>
      <w:rFonts w:eastAsia="Times New Roman" w:cs="Times New Roman"/>
      <w:szCs w:val="20"/>
    </w:rPr>
  </w:style>
  <w:style w:type="character" w:styleId="PageNumber">
    <w:name w:val="page number"/>
    <w:basedOn w:val="DefaultParagraphFont"/>
    <w:uiPriority w:val="99"/>
    <w:semiHidden/>
    <w:unhideWhenUsed/>
    <w:rsid w:val="000E5342"/>
  </w:style>
  <w:style w:type="character" w:styleId="LineNumber">
    <w:name w:val="line number"/>
    <w:basedOn w:val="DefaultParagraphFont"/>
    <w:uiPriority w:val="99"/>
    <w:semiHidden/>
    <w:unhideWhenUsed/>
    <w:rsid w:val="000E5342"/>
  </w:style>
  <w:style w:type="paragraph" w:customStyle="1" w:styleId="BillDots">
    <w:name w:val="Bill Dots"/>
    <w:basedOn w:val="Normal"/>
    <w:qFormat/>
    <w:rsid w:val="000E53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E5342"/>
    <w:pPr>
      <w:tabs>
        <w:tab w:val="right" w:pos="5904"/>
      </w:tabs>
    </w:pPr>
  </w:style>
  <w:style w:type="character" w:styleId="Hyperlink">
    <w:name w:val="Hyperlink"/>
    <w:basedOn w:val="DefaultParagraphFont"/>
    <w:uiPriority w:val="99"/>
    <w:unhideWhenUsed/>
    <w:rsid w:val="000E5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13" Type="http://schemas.openxmlformats.org/officeDocument/2006/relationships/hyperlink" Target="file:///h:\HJ%20Archive\2010\04-21-10.docx" TargetMode="External"/><Relationship Id="rId18" Type="http://schemas.openxmlformats.org/officeDocument/2006/relationships/hyperlink" Target="file:///h:\SJ%20Archive\2010\04-22-10.docx" TargetMode="External"/><Relationship Id="rId3" Type="http://schemas.openxmlformats.org/officeDocument/2006/relationships/settings" Target="settings.xml"/><Relationship Id="rId21" Type="http://schemas.openxmlformats.org/officeDocument/2006/relationships/hyperlink" Target="file:///p:\pprever\2009-10\3988_20100421.docx" TargetMode="External"/><Relationship Id="rId7" Type="http://schemas.openxmlformats.org/officeDocument/2006/relationships/hyperlink" Target="file:///h:\HJ%20Archive\2009\04-29-09.docx" TargetMode="External"/><Relationship Id="rId12" Type="http://schemas.openxmlformats.org/officeDocument/2006/relationships/hyperlink" Target="file:///h:\HJ%20Archive\2010\04-20-10.docx" TargetMode="External"/><Relationship Id="rId17" Type="http://schemas.openxmlformats.org/officeDocument/2006/relationships/hyperlink" Target="file:///h:\SJ%20Archive\2010\04-22-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0\04-22-10.docx" TargetMode="External"/><Relationship Id="rId20" Type="http://schemas.openxmlformats.org/officeDocument/2006/relationships/hyperlink" Target="file:///p:\pprever\2009-10\3988_201003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15-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0\04-21-10.docx" TargetMode="External"/><Relationship Id="rId23" Type="http://schemas.openxmlformats.org/officeDocument/2006/relationships/footer" Target="footer2.xml"/><Relationship Id="rId10" Type="http://schemas.openxmlformats.org/officeDocument/2006/relationships/hyperlink" Target="file:///h:\HJ%20Archive\2010\04-14-10.docx" TargetMode="External"/><Relationship Id="rId19" Type="http://schemas.openxmlformats.org/officeDocument/2006/relationships/hyperlink" Target="file:///p:\pprever\2009-10\3988_20090429.docx" TargetMode="Externa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HJ%20Archive\2010\04-21-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00200-0AB6-4F42-B256-F0D3ED53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1190</Words>
  <Characters>6051</Characters>
  <Application>Microsoft Office Word</Application>
  <DocSecurity>0</DocSecurity>
  <Lines>172</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3988: Vehicles - South Carolina Legislature Online</dc:title>
  <dc:subject/>
  <dc:creator>ANGIE MORGAN</dc:creator>
  <cp:keywords/>
  <dc:description/>
  <cp:lastModifiedBy>N Cumfer</cp:lastModifiedBy>
  <cp:revision>10</cp:revision>
  <cp:lastPrinted>2009-04-28T18:28:00Z</cp:lastPrinted>
  <dcterms:created xsi:type="dcterms:W3CDTF">2010-04-21T22:34:00Z</dcterms:created>
  <dcterms:modified xsi:type="dcterms:W3CDTF">2014-11-24T16:16:00Z</dcterms:modified>
</cp:coreProperties>
</file>