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D7E" w:rsidRDefault="002E6D7E" w:rsidP="002E6D7E">
      <w:pPr>
        <w:widowControl w:val="0"/>
        <w:jc w:val="center"/>
      </w:pPr>
      <w:bookmarkStart w:id="0" w:name="_GoBack"/>
      <w:bookmarkEnd w:id="0"/>
      <w:r w:rsidRPr="002E6D7E">
        <w:rPr>
          <w:b/>
        </w:rPr>
        <w:t>South Carolina General Assembly</w:t>
      </w:r>
    </w:p>
    <w:p w:rsidR="002E6D7E" w:rsidRDefault="002E6D7E" w:rsidP="002E6D7E">
      <w:pPr>
        <w:widowControl w:val="0"/>
        <w:jc w:val="center"/>
      </w:pPr>
      <w:r>
        <w:t>118th Session, 2009-2010</w:t>
      </w:r>
    </w:p>
    <w:p w:rsidR="002E6D7E" w:rsidRDefault="002E6D7E" w:rsidP="002E6D7E">
      <w:pPr>
        <w:widowControl w:val="0"/>
        <w:jc w:val="left"/>
      </w:pPr>
    </w:p>
    <w:p w:rsidR="002E6D7E" w:rsidRDefault="002E6D7E" w:rsidP="002E6D7E">
      <w:pPr>
        <w:widowControl w:val="0"/>
        <w:jc w:val="left"/>
        <w:rPr>
          <w:b/>
        </w:rPr>
      </w:pPr>
      <w:r w:rsidRPr="002E6D7E">
        <w:rPr>
          <w:b/>
        </w:rPr>
        <w:t>H. 4430</w:t>
      </w:r>
    </w:p>
    <w:p w:rsidR="002E6D7E" w:rsidRDefault="002E6D7E" w:rsidP="002E6D7E">
      <w:pPr>
        <w:widowControl w:val="0"/>
        <w:jc w:val="left"/>
        <w:rPr>
          <w:b/>
        </w:rPr>
      </w:pPr>
    </w:p>
    <w:p w:rsidR="002E6D7E" w:rsidRDefault="002E6D7E" w:rsidP="002E6D7E">
      <w:pPr>
        <w:widowControl w:val="0"/>
        <w:jc w:val="left"/>
      </w:pPr>
      <w:r w:rsidRPr="002E6D7E">
        <w:rPr>
          <w:b/>
        </w:rPr>
        <w:t>STATUS INFORMATION</w:t>
      </w:r>
    </w:p>
    <w:p w:rsidR="002E6D7E" w:rsidRDefault="002E6D7E" w:rsidP="002E6D7E">
      <w:pPr>
        <w:widowControl w:val="0"/>
        <w:jc w:val="left"/>
      </w:pPr>
    </w:p>
    <w:p w:rsidR="002E6D7E" w:rsidRDefault="002E6D7E" w:rsidP="002E6D7E">
      <w:pPr>
        <w:widowControl w:val="0"/>
        <w:jc w:val="left"/>
      </w:pPr>
      <w:r>
        <w:t>General Bill</w:t>
      </w:r>
    </w:p>
    <w:p w:rsidR="002E6D7E" w:rsidRDefault="002E6D7E" w:rsidP="002E6D7E">
      <w:pPr>
        <w:widowControl w:val="0"/>
        <w:jc w:val="left"/>
      </w:pPr>
      <w:r>
        <w:t>Sponsors: Reps. Merrill, Lowe, Bingham, Hutto, Limehouse, Crawford, Harrell, Harrison and G.M. Smith</w:t>
      </w:r>
    </w:p>
    <w:p w:rsidR="002E6D7E" w:rsidRDefault="002E6D7E" w:rsidP="002E6D7E">
      <w:pPr>
        <w:widowControl w:val="0"/>
        <w:jc w:val="left"/>
      </w:pPr>
      <w:r>
        <w:t>Document Path: l:\council\bills\nbd\20789sd10.docx</w:t>
      </w:r>
    </w:p>
    <w:p w:rsidR="002E6D7E" w:rsidRDefault="002E6D7E" w:rsidP="002E6D7E">
      <w:pPr>
        <w:widowControl w:val="0"/>
        <w:jc w:val="left"/>
      </w:pPr>
    </w:p>
    <w:p w:rsidR="00507B48" w:rsidRDefault="00507B48" w:rsidP="002E6D7E">
      <w:pPr>
        <w:widowControl w:val="0"/>
        <w:jc w:val="left"/>
      </w:pPr>
      <w:r>
        <w:t>Introduced in the House on January 27, 2010</w:t>
      </w:r>
    </w:p>
    <w:p w:rsidR="00507B48" w:rsidRDefault="00507B48" w:rsidP="002E6D7E">
      <w:pPr>
        <w:widowControl w:val="0"/>
        <w:jc w:val="left"/>
      </w:pPr>
      <w:r>
        <w:t>Introduced in the Senate on April 27, 2010</w:t>
      </w:r>
    </w:p>
    <w:p w:rsidR="00507B48" w:rsidRDefault="00507B48" w:rsidP="002E6D7E">
      <w:pPr>
        <w:widowControl w:val="0"/>
        <w:jc w:val="left"/>
      </w:pPr>
      <w:r>
        <w:t>Last Amended on June 2, 2010</w:t>
      </w:r>
    </w:p>
    <w:p w:rsidR="00507B48" w:rsidRDefault="00507B48" w:rsidP="002E6D7E">
      <w:pPr>
        <w:widowControl w:val="0"/>
        <w:jc w:val="left"/>
      </w:pPr>
      <w:r>
        <w:t>Currently residing in the Senate</w:t>
      </w:r>
    </w:p>
    <w:p w:rsidR="00507B48" w:rsidRDefault="00507B48" w:rsidP="002E6D7E">
      <w:pPr>
        <w:widowControl w:val="0"/>
        <w:jc w:val="left"/>
      </w:pPr>
    </w:p>
    <w:p w:rsidR="002E6D7E" w:rsidRDefault="002E6D7E" w:rsidP="002E6D7E">
      <w:pPr>
        <w:widowControl w:val="0"/>
        <w:jc w:val="left"/>
      </w:pPr>
      <w:r>
        <w:t xml:space="preserve">Summary: </w:t>
      </w:r>
      <w:r w:rsidR="00236F40">
        <w:t>Municipal ad valorem taxes</w:t>
      </w:r>
    </w:p>
    <w:p w:rsidR="002E6D7E" w:rsidRDefault="002E6D7E" w:rsidP="002E6D7E">
      <w:pPr>
        <w:widowControl w:val="0"/>
        <w:jc w:val="left"/>
      </w:pPr>
    </w:p>
    <w:p w:rsidR="002E6D7E" w:rsidRDefault="002E6D7E" w:rsidP="002E6D7E">
      <w:pPr>
        <w:widowControl w:val="0"/>
        <w:jc w:val="left"/>
      </w:pPr>
    </w:p>
    <w:p w:rsidR="002E6D7E" w:rsidRDefault="002E6D7E" w:rsidP="002E6D7E">
      <w:pPr>
        <w:widowControl w:val="0"/>
        <w:tabs>
          <w:tab w:val="center" w:pos="590"/>
          <w:tab w:val="center" w:pos="1440"/>
          <w:tab w:val="left" w:pos="1872"/>
          <w:tab w:val="left" w:pos="9187"/>
        </w:tabs>
        <w:jc w:val="left"/>
      </w:pPr>
      <w:r w:rsidRPr="002E6D7E">
        <w:rPr>
          <w:b/>
        </w:rPr>
        <w:t>HISTORY OF LEGISLATIVE ACTIONS</w:t>
      </w:r>
    </w:p>
    <w:p w:rsidR="002E6D7E" w:rsidRDefault="002E6D7E" w:rsidP="002E6D7E">
      <w:pPr>
        <w:widowControl w:val="0"/>
        <w:tabs>
          <w:tab w:val="center" w:pos="590"/>
          <w:tab w:val="center" w:pos="1440"/>
          <w:tab w:val="left" w:pos="1872"/>
          <w:tab w:val="left" w:pos="9187"/>
        </w:tabs>
        <w:jc w:val="left"/>
      </w:pPr>
    </w:p>
    <w:p w:rsidR="002E6D7E" w:rsidRPr="002E6D7E" w:rsidRDefault="002E6D7E" w:rsidP="002E6D7E">
      <w:pPr>
        <w:widowControl w:val="0"/>
        <w:tabs>
          <w:tab w:val="center" w:pos="590"/>
          <w:tab w:val="center" w:pos="1440"/>
          <w:tab w:val="left" w:pos="1872"/>
          <w:tab w:val="left" w:pos="9187"/>
        </w:tabs>
        <w:jc w:val="left"/>
      </w:pPr>
      <w:r w:rsidRPr="002E6D7E">
        <w:rPr>
          <w:u w:val="single"/>
        </w:rPr>
        <w:tab/>
        <w:t>Date</w:t>
      </w:r>
      <w:r w:rsidRPr="002E6D7E">
        <w:rPr>
          <w:u w:val="single"/>
        </w:rPr>
        <w:tab/>
        <w:t>Body</w:t>
      </w:r>
      <w:r w:rsidRPr="002E6D7E">
        <w:rPr>
          <w:u w:val="single"/>
        </w:rPr>
        <w:tab/>
        <w:t>Action Description with journal page number</w:t>
      </w:r>
      <w:r w:rsidRPr="002E6D7E">
        <w:rPr>
          <w:u w:val="single"/>
        </w:rPr>
        <w:tab/>
      </w:r>
    </w:p>
    <w:p w:rsidR="000C142A" w:rsidRDefault="000C142A" w:rsidP="000C142A">
      <w:pPr>
        <w:widowControl w:val="0"/>
        <w:tabs>
          <w:tab w:val="right" w:pos="1008"/>
          <w:tab w:val="left" w:pos="1152"/>
          <w:tab w:val="left" w:pos="1872"/>
          <w:tab w:val="left" w:pos="9187"/>
        </w:tabs>
        <w:ind w:left="2088" w:hanging="2088"/>
        <w:jc w:val="left"/>
      </w:pPr>
      <w:r>
        <w:tab/>
        <w:t>1/27/2010</w:t>
      </w:r>
      <w:r>
        <w:tab/>
        <w:t>House</w:t>
      </w:r>
      <w:r>
        <w:tab/>
      </w:r>
      <w:r w:rsidRPr="005E181E">
        <w:t xml:space="preserve">Introduced and read first time </w:t>
      </w:r>
      <w:hyperlink r:id="rId7" w:history="1">
        <w:r w:rsidRPr="003A04B6">
          <w:rPr>
            <w:rStyle w:val="Hyperlink"/>
          </w:rPr>
          <w:t>HJ</w:t>
        </w:r>
      </w:hyperlink>
      <w:r>
        <w:noBreakHyphen/>
      </w:r>
      <w:r w:rsidRPr="005E181E">
        <w:t>10</w:t>
      </w:r>
    </w:p>
    <w:p w:rsidR="000C142A" w:rsidRDefault="000C142A" w:rsidP="000C142A">
      <w:pPr>
        <w:widowControl w:val="0"/>
        <w:tabs>
          <w:tab w:val="right" w:pos="1008"/>
          <w:tab w:val="left" w:pos="1152"/>
          <w:tab w:val="left" w:pos="1872"/>
          <w:tab w:val="left" w:pos="9187"/>
        </w:tabs>
        <w:ind w:left="2088" w:hanging="2088"/>
        <w:jc w:val="left"/>
      </w:pPr>
      <w:r>
        <w:tab/>
        <w:t>1/27/2010</w:t>
      </w:r>
      <w:r>
        <w:tab/>
        <w:t>House</w:t>
      </w:r>
      <w:r>
        <w:tab/>
      </w:r>
      <w:r w:rsidRPr="005E181E">
        <w:t xml:space="preserve">Referred to Committee on </w:t>
      </w:r>
      <w:r w:rsidRPr="005E181E">
        <w:rPr>
          <w:b/>
        </w:rPr>
        <w:t>Ways and Means</w:t>
      </w:r>
      <w:r w:rsidRPr="005E181E">
        <w:t xml:space="preserve"> </w:t>
      </w:r>
      <w:hyperlink r:id="rId8" w:history="1">
        <w:r w:rsidRPr="003A04B6">
          <w:rPr>
            <w:rStyle w:val="Hyperlink"/>
          </w:rPr>
          <w:t>HJ</w:t>
        </w:r>
      </w:hyperlink>
      <w:r>
        <w:noBreakHyphen/>
      </w:r>
      <w:r w:rsidRPr="005E181E">
        <w:t>11</w:t>
      </w:r>
    </w:p>
    <w:p w:rsidR="000C142A" w:rsidRDefault="000C142A" w:rsidP="000C142A">
      <w:pPr>
        <w:widowControl w:val="0"/>
        <w:tabs>
          <w:tab w:val="right" w:pos="1008"/>
          <w:tab w:val="left" w:pos="1152"/>
          <w:tab w:val="left" w:pos="1872"/>
          <w:tab w:val="left" w:pos="9187"/>
        </w:tabs>
        <w:ind w:left="2088" w:hanging="2088"/>
        <w:jc w:val="left"/>
      </w:pPr>
      <w:r>
        <w:tab/>
        <w:t>4/15/2010</w:t>
      </w:r>
      <w:r>
        <w:tab/>
        <w:t>House</w:t>
      </w:r>
      <w:r>
        <w:tab/>
      </w:r>
      <w:r w:rsidRPr="005E181E">
        <w:t>Committee report</w:t>
      </w:r>
      <w:r>
        <w:t xml:space="preserve">: Favorable with amendment </w:t>
      </w:r>
      <w:r w:rsidRPr="005E181E">
        <w:rPr>
          <w:b/>
        </w:rPr>
        <w:t>Ways and Means</w:t>
      </w:r>
      <w:r w:rsidRPr="005E181E">
        <w:t xml:space="preserve"> </w:t>
      </w:r>
      <w:hyperlink r:id="rId9" w:history="1">
        <w:r w:rsidRPr="003A04B6">
          <w:rPr>
            <w:rStyle w:val="Hyperlink"/>
          </w:rPr>
          <w:t>HJ</w:t>
        </w:r>
      </w:hyperlink>
      <w:r>
        <w:noBreakHyphen/>
      </w:r>
      <w:r w:rsidRPr="005E181E">
        <w:t>18</w:t>
      </w:r>
    </w:p>
    <w:p w:rsidR="000C142A" w:rsidRDefault="000C142A" w:rsidP="000C142A">
      <w:pPr>
        <w:widowControl w:val="0"/>
        <w:tabs>
          <w:tab w:val="right" w:pos="1008"/>
          <w:tab w:val="left" w:pos="1152"/>
          <w:tab w:val="left" w:pos="1872"/>
          <w:tab w:val="left" w:pos="9187"/>
        </w:tabs>
        <w:ind w:left="2088" w:hanging="2088"/>
        <w:jc w:val="left"/>
      </w:pPr>
      <w:r>
        <w:tab/>
        <w:t>4/22/2010</w:t>
      </w:r>
      <w:r>
        <w:tab/>
        <w:t>House</w:t>
      </w:r>
      <w:r>
        <w:tab/>
      </w:r>
      <w:r w:rsidRPr="005E181E">
        <w:t xml:space="preserve">Amended </w:t>
      </w:r>
      <w:hyperlink r:id="rId10" w:history="1">
        <w:r w:rsidRPr="003A04B6">
          <w:rPr>
            <w:rStyle w:val="Hyperlink"/>
          </w:rPr>
          <w:t>HJ</w:t>
        </w:r>
      </w:hyperlink>
      <w:r>
        <w:noBreakHyphen/>
      </w:r>
      <w:r w:rsidRPr="005E181E">
        <w:t>46</w:t>
      </w:r>
    </w:p>
    <w:p w:rsidR="000C142A" w:rsidRDefault="000C142A" w:rsidP="000C142A">
      <w:pPr>
        <w:widowControl w:val="0"/>
        <w:tabs>
          <w:tab w:val="right" w:pos="1008"/>
          <w:tab w:val="left" w:pos="1152"/>
          <w:tab w:val="left" w:pos="1872"/>
          <w:tab w:val="left" w:pos="9187"/>
        </w:tabs>
        <w:ind w:left="2088" w:hanging="2088"/>
        <w:jc w:val="left"/>
      </w:pPr>
      <w:r>
        <w:tab/>
        <w:t>4/22/2010</w:t>
      </w:r>
      <w:r>
        <w:tab/>
        <w:t>House</w:t>
      </w:r>
      <w:r>
        <w:tab/>
      </w:r>
      <w:r w:rsidRPr="005E181E">
        <w:t xml:space="preserve">Read second time </w:t>
      </w:r>
      <w:hyperlink r:id="rId11" w:history="1">
        <w:r w:rsidRPr="003A04B6">
          <w:rPr>
            <w:rStyle w:val="Hyperlink"/>
          </w:rPr>
          <w:t>HJ</w:t>
        </w:r>
      </w:hyperlink>
      <w:r>
        <w:noBreakHyphen/>
      </w:r>
      <w:r w:rsidRPr="005E181E">
        <w:t>46</w:t>
      </w:r>
    </w:p>
    <w:p w:rsidR="000C142A" w:rsidRDefault="000C142A" w:rsidP="000C142A">
      <w:pPr>
        <w:widowControl w:val="0"/>
        <w:tabs>
          <w:tab w:val="right" w:pos="1008"/>
          <w:tab w:val="left" w:pos="1152"/>
          <w:tab w:val="left" w:pos="1872"/>
          <w:tab w:val="left" w:pos="9187"/>
        </w:tabs>
        <w:ind w:left="2088" w:hanging="2088"/>
        <w:jc w:val="left"/>
      </w:pPr>
      <w:r>
        <w:tab/>
        <w:t>4/22/2010</w:t>
      </w:r>
      <w:r>
        <w:tab/>
        <w:t>House</w:t>
      </w:r>
      <w:r>
        <w:tab/>
      </w:r>
      <w:r w:rsidRPr="005E181E">
        <w:t>Unanimous co</w:t>
      </w:r>
      <w:r>
        <w:t xml:space="preserve">nsent for third reading on next </w:t>
      </w:r>
      <w:r w:rsidRPr="005E181E">
        <w:t xml:space="preserve">legislative day </w:t>
      </w:r>
      <w:hyperlink r:id="rId12" w:history="1">
        <w:r w:rsidRPr="003A04B6">
          <w:rPr>
            <w:rStyle w:val="Hyperlink"/>
          </w:rPr>
          <w:t>HJ</w:t>
        </w:r>
      </w:hyperlink>
      <w:r>
        <w:noBreakHyphen/>
      </w:r>
      <w:r w:rsidRPr="005E181E">
        <w:t>48</w:t>
      </w:r>
    </w:p>
    <w:p w:rsidR="000C142A" w:rsidRDefault="000C142A" w:rsidP="000C142A">
      <w:pPr>
        <w:widowControl w:val="0"/>
        <w:tabs>
          <w:tab w:val="right" w:pos="1008"/>
          <w:tab w:val="left" w:pos="1152"/>
          <w:tab w:val="left" w:pos="1872"/>
          <w:tab w:val="left" w:pos="9187"/>
        </w:tabs>
        <w:ind w:left="2088" w:hanging="2088"/>
        <w:jc w:val="left"/>
      </w:pPr>
      <w:r>
        <w:tab/>
        <w:t>4/23/2010</w:t>
      </w:r>
      <w:r>
        <w:tab/>
        <w:t>House</w:t>
      </w:r>
      <w:r>
        <w:tab/>
      </w:r>
      <w:r w:rsidRPr="005E181E">
        <w:t xml:space="preserve">Read third time and sent to Senate </w:t>
      </w:r>
      <w:hyperlink r:id="rId13" w:history="1">
        <w:r w:rsidRPr="003A04B6">
          <w:rPr>
            <w:rStyle w:val="Hyperlink"/>
          </w:rPr>
          <w:t>HJ</w:t>
        </w:r>
      </w:hyperlink>
      <w:r>
        <w:noBreakHyphen/>
      </w:r>
      <w:r w:rsidRPr="005E181E">
        <w:t>2</w:t>
      </w:r>
    </w:p>
    <w:p w:rsidR="000C142A" w:rsidRDefault="000C142A" w:rsidP="000C142A">
      <w:pPr>
        <w:widowControl w:val="0"/>
        <w:tabs>
          <w:tab w:val="right" w:pos="1008"/>
          <w:tab w:val="left" w:pos="1152"/>
          <w:tab w:val="left" w:pos="1872"/>
          <w:tab w:val="left" w:pos="9187"/>
        </w:tabs>
        <w:ind w:left="2088" w:hanging="2088"/>
        <w:jc w:val="left"/>
      </w:pPr>
      <w:r>
        <w:tab/>
        <w:t>4/27/2010</w:t>
      </w:r>
      <w:r>
        <w:tab/>
        <w:t>Senate</w:t>
      </w:r>
      <w:r>
        <w:tab/>
      </w:r>
      <w:r w:rsidRPr="005E181E">
        <w:t xml:space="preserve">Introduced and read first time </w:t>
      </w:r>
      <w:hyperlink r:id="rId14" w:history="1">
        <w:r w:rsidRPr="003A04B6">
          <w:rPr>
            <w:rStyle w:val="Hyperlink"/>
          </w:rPr>
          <w:t>SJ</w:t>
        </w:r>
      </w:hyperlink>
      <w:r>
        <w:noBreakHyphen/>
      </w:r>
      <w:r w:rsidRPr="005E181E">
        <w:t>7</w:t>
      </w:r>
    </w:p>
    <w:p w:rsidR="000C142A" w:rsidRDefault="000C142A" w:rsidP="000C142A">
      <w:pPr>
        <w:widowControl w:val="0"/>
        <w:tabs>
          <w:tab w:val="right" w:pos="1008"/>
          <w:tab w:val="left" w:pos="1152"/>
          <w:tab w:val="left" w:pos="1872"/>
          <w:tab w:val="left" w:pos="9187"/>
        </w:tabs>
        <w:ind w:left="2088" w:hanging="2088"/>
        <w:jc w:val="left"/>
      </w:pPr>
      <w:r>
        <w:tab/>
        <w:t>4/27/2010</w:t>
      </w:r>
      <w:r>
        <w:tab/>
        <w:t>Senate</w:t>
      </w:r>
      <w:r>
        <w:tab/>
      </w:r>
      <w:r w:rsidRPr="005E181E">
        <w:t xml:space="preserve">Referred to Committee on </w:t>
      </w:r>
      <w:r w:rsidRPr="005E181E">
        <w:rPr>
          <w:b/>
        </w:rPr>
        <w:t>Finance</w:t>
      </w:r>
      <w:r w:rsidRPr="005E181E">
        <w:t xml:space="preserve"> </w:t>
      </w:r>
      <w:hyperlink r:id="rId15" w:history="1">
        <w:r w:rsidRPr="003A04B6">
          <w:rPr>
            <w:rStyle w:val="Hyperlink"/>
          </w:rPr>
          <w:t>SJ</w:t>
        </w:r>
      </w:hyperlink>
      <w:r>
        <w:noBreakHyphen/>
      </w:r>
      <w:r w:rsidRPr="005E181E">
        <w:t>7</w:t>
      </w:r>
    </w:p>
    <w:p w:rsidR="000C142A" w:rsidRDefault="000C142A" w:rsidP="000C142A">
      <w:pPr>
        <w:widowControl w:val="0"/>
        <w:tabs>
          <w:tab w:val="right" w:pos="1008"/>
          <w:tab w:val="left" w:pos="1152"/>
          <w:tab w:val="left" w:pos="1872"/>
          <w:tab w:val="left" w:pos="9187"/>
        </w:tabs>
        <w:ind w:left="2088" w:hanging="2088"/>
        <w:jc w:val="left"/>
      </w:pPr>
      <w:r>
        <w:tab/>
        <w:t>5/19/2010</w:t>
      </w:r>
      <w:r>
        <w:tab/>
        <w:t>Senate</w:t>
      </w:r>
      <w:r>
        <w:tab/>
      </w:r>
      <w:r w:rsidRPr="005E181E">
        <w:t>Committee r</w:t>
      </w:r>
      <w:r>
        <w:t xml:space="preserve">eport: Favorable with amendment </w:t>
      </w:r>
      <w:r w:rsidRPr="005E181E">
        <w:rPr>
          <w:b/>
        </w:rPr>
        <w:t>Finance</w:t>
      </w:r>
      <w:r w:rsidRPr="005E181E">
        <w:t xml:space="preserve"> </w:t>
      </w:r>
      <w:hyperlink r:id="rId16" w:history="1">
        <w:r w:rsidRPr="003A04B6">
          <w:rPr>
            <w:rStyle w:val="Hyperlink"/>
          </w:rPr>
          <w:t>SJ</w:t>
        </w:r>
      </w:hyperlink>
      <w:r>
        <w:noBreakHyphen/>
      </w:r>
      <w:r w:rsidRPr="005E181E">
        <w:t>35</w:t>
      </w:r>
    </w:p>
    <w:p w:rsidR="000C142A" w:rsidRDefault="000C142A" w:rsidP="000C142A">
      <w:pPr>
        <w:widowControl w:val="0"/>
        <w:tabs>
          <w:tab w:val="right" w:pos="1008"/>
          <w:tab w:val="left" w:pos="1152"/>
          <w:tab w:val="left" w:pos="1872"/>
          <w:tab w:val="left" w:pos="9187"/>
        </w:tabs>
        <w:ind w:left="2088" w:hanging="2088"/>
        <w:jc w:val="left"/>
      </w:pPr>
      <w:r>
        <w:tab/>
        <w:t>5/26/2010</w:t>
      </w:r>
      <w:r>
        <w:tab/>
        <w:t>Senate</w:t>
      </w:r>
      <w:r>
        <w:tab/>
      </w:r>
      <w:r w:rsidRPr="005E181E">
        <w:t xml:space="preserve">Committee Amendment Adopted </w:t>
      </w:r>
      <w:hyperlink r:id="rId17" w:history="1">
        <w:r w:rsidRPr="003A04B6">
          <w:rPr>
            <w:rStyle w:val="Hyperlink"/>
          </w:rPr>
          <w:t>SJ</w:t>
        </w:r>
      </w:hyperlink>
      <w:r>
        <w:noBreakHyphen/>
      </w:r>
      <w:r w:rsidRPr="005E181E">
        <w:t>62</w:t>
      </w:r>
    </w:p>
    <w:p w:rsidR="000C142A" w:rsidRDefault="000C142A" w:rsidP="000C142A">
      <w:pPr>
        <w:widowControl w:val="0"/>
        <w:tabs>
          <w:tab w:val="right" w:pos="1008"/>
          <w:tab w:val="left" w:pos="1152"/>
          <w:tab w:val="left" w:pos="1872"/>
          <w:tab w:val="left" w:pos="9187"/>
        </w:tabs>
        <w:ind w:left="2088" w:hanging="2088"/>
        <w:jc w:val="left"/>
      </w:pPr>
      <w:r>
        <w:tab/>
        <w:t>6/2/2010</w:t>
      </w:r>
      <w:r>
        <w:tab/>
        <w:t>Senate</w:t>
      </w:r>
      <w:r>
        <w:tab/>
      </w:r>
      <w:r w:rsidRPr="005E181E">
        <w:t xml:space="preserve">Amended </w:t>
      </w:r>
      <w:hyperlink r:id="rId18" w:history="1">
        <w:r w:rsidRPr="003A04B6">
          <w:rPr>
            <w:rStyle w:val="Hyperlink"/>
          </w:rPr>
          <w:t>SJ</w:t>
        </w:r>
      </w:hyperlink>
      <w:r>
        <w:noBreakHyphen/>
      </w:r>
      <w:r w:rsidRPr="005E181E">
        <w:t>149</w:t>
      </w:r>
    </w:p>
    <w:p w:rsidR="000C142A" w:rsidRDefault="000C142A" w:rsidP="000C142A">
      <w:pPr>
        <w:widowControl w:val="0"/>
        <w:tabs>
          <w:tab w:val="right" w:pos="1008"/>
          <w:tab w:val="left" w:pos="1152"/>
          <w:tab w:val="left" w:pos="1872"/>
          <w:tab w:val="left" w:pos="9187"/>
        </w:tabs>
        <w:ind w:left="2088" w:hanging="2088"/>
        <w:jc w:val="left"/>
      </w:pPr>
      <w:r>
        <w:tab/>
        <w:t>6/2/2010</w:t>
      </w:r>
      <w:r>
        <w:tab/>
        <w:t>Senate</w:t>
      </w:r>
      <w:r>
        <w:tab/>
      </w:r>
      <w:r w:rsidRPr="005E181E">
        <w:t xml:space="preserve">Read second time </w:t>
      </w:r>
      <w:hyperlink r:id="rId19" w:history="1">
        <w:r w:rsidRPr="003A04B6">
          <w:rPr>
            <w:rStyle w:val="Hyperlink"/>
          </w:rPr>
          <w:t>SJ</w:t>
        </w:r>
      </w:hyperlink>
      <w:r>
        <w:noBreakHyphen/>
      </w:r>
      <w:r w:rsidRPr="005E181E">
        <w:t>149</w:t>
      </w:r>
    </w:p>
    <w:p w:rsidR="000C142A" w:rsidRDefault="000C142A" w:rsidP="000C142A">
      <w:pPr>
        <w:widowControl w:val="0"/>
        <w:tabs>
          <w:tab w:val="right" w:pos="1008"/>
          <w:tab w:val="left" w:pos="1152"/>
          <w:tab w:val="left" w:pos="1872"/>
          <w:tab w:val="left" w:pos="9187"/>
        </w:tabs>
        <w:ind w:left="2088" w:hanging="2088"/>
        <w:jc w:val="left"/>
      </w:pPr>
    </w:p>
    <w:p w:rsidR="002E6D7E" w:rsidRPr="002E6D7E" w:rsidRDefault="002E6D7E" w:rsidP="002E6D7E">
      <w:pPr>
        <w:widowControl w:val="0"/>
        <w:tabs>
          <w:tab w:val="right" w:pos="1008"/>
          <w:tab w:val="left" w:pos="1152"/>
          <w:tab w:val="left" w:pos="1872"/>
          <w:tab w:val="left" w:pos="9187"/>
        </w:tabs>
        <w:ind w:left="2088" w:hanging="2088"/>
        <w:jc w:val="left"/>
      </w:pPr>
    </w:p>
    <w:p w:rsidR="002E6D7E" w:rsidRDefault="002E6D7E" w:rsidP="002E6D7E">
      <w:pPr>
        <w:widowControl w:val="0"/>
        <w:jc w:val="left"/>
      </w:pPr>
      <w:r w:rsidRPr="002E6D7E">
        <w:rPr>
          <w:b/>
        </w:rPr>
        <w:t>VERSIONS OF THIS BILL</w:t>
      </w:r>
    </w:p>
    <w:p w:rsidR="002E6D7E" w:rsidRDefault="002E6D7E" w:rsidP="002E6D7E">
      <w:pPr>
        <w:widowControl w:val="0"/>
        <w:jc w:val="left"/>
      </w:pPr>
    </w:p>
    <w:p w:rsidR="002E6D7E" w:rsidRDefault="00D6513F" w:rsidP="002E6D7E">
      <w:pPr>
        <w:widowControl w:val="0"/>
        <w:jc w:val="left"/>
      </w:pPr>
      <w:hyperlink r:id="rId20" w:history="1">
        <w:r w:rsidR="002E6D7E">
          <w:rPr>
            <w:rStyle w:val="Hyperlink"/>
          </w:rPr>
          <w:t>1/27/2010</w:t>
        </w:r>
      </w:hyperlink>
    </w:p>
    <w:p w:rsidR="005D784E" w:rsidRDefault="00D6513F" w:rsidP="002E6D7E">
      <w:hyperlink r:id="rId21" w:history="1">
        <w:r w:rsidR="005D784E" w:rsidRPr="005D784E">
          <w:rPr>
            <w:rStyle w:val="Hyperlink"/>
          </w:rPr>
          <w:t>4/15/2010</w:t>
        </w:r>
      </w:hyperlink>
    </w:p>
    <w:p w:rsidR="008D6EA7" w:rsidRDefault="00D6513F" w:rsidP="002E6D7E">
      <w:hyperlink r:id="rId22" w:history="1">
        <w:r w:rsidR="008D6EA7" w:rsidRPr="008D6EA7">
          <w:rPr>
            <w:rStyle w:val="Hyperlink"/>
          </w:rPr>
          <w:t>4/22/2010</w:t>
        </w:r>
      </w:hyperlink>
    </w:p>
    <w:p w:rsidR="00480FAF" w:rsidRDefault="00D6513F" w:rsidP="002E6D7E">
      <w:hyperlink r:id="rId23" w:history="1">
        <w:r w:rsidR="00480FAF" w:rsidRPr="00480FAF">
          <w:rPr>
            <w:rStyle w:val="Hyperlink"/>
          </w:rPr>
          <w:t>5/19/2010</w:t>
        </w:r>
      </w:hyperlink>
    </w:p>
    <w:p w:rsidR="001E4574" w:rsidRDefault="00D6513F" w:rsidP="002E6D7E">
      <w:hyperlink r:id="rId24" w:history="1">
        <w:r w:rsidR="001E4574" w:rsidRPr="001E4574">
          <w:rPr>
            <w:rStyle w:val="Hyperlink"/>
          </w:rPr>
          <w:t>5/26/2010</w:t>
        </w:r>
      </w:hyperlink>
    </w:p>
    <w:p w:rsidR="004B176F" w:rsidRDefault="00D6513F" w:rsidP="002E6D7E">
      <w:hyperlink r:id="rId25" w:history="1">
        <w:r w:rsidR="004B176F" w:rsidRPr="004B176F">
          <w:rPr>
            <w:rStyle w:val="Hyperlink"/>
          </w:rPr>
          <w:t>6/2/2010</w:t>
        </w:r>
      </w:hyperlink>
    </w:p>
    <w:p w:rsidR="002E6D7E" w:rsidRDefault="002E6D7E" w:rsidP="002E6D7E"/>
    <w:p w:rsidR="002E6D7E" w:rsidRDefault="002E6D7E" w:rsidP="002E6D7E">
      <w:pPr>
        <w:sectPr w:rsidR="002E6D7E" w:rsidSect="002E6D7E">
          <w:pgSz w:w="12240" w:h="15840" w:code="1"/>
          <w:pgMar w:top="1080" w:right="1440" w:bottom="1080" w:left="1440" w:header="720" w:footer="720" w:gutter="0"/>
          <w:cols w:space="720"/>
          <w:noEndnote/>
          <w:docGrid w:linePitch="360"/>
        </w:sectPr>
      </w:pPr>
    </w:p>
    <w:p w:rsidR="004B176F" w:rsidRDefault="004B176F" w:rsidP="00A94286">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4B176F" w:rsidRDefault="004B176F" w:rsidP="00A94286">
      <w:pPr>
        <w:pStyle w:val="BillDots"/>
        <w:tabs>
          <w:tab w:val="clear" w:pos="216"/>
          <w:tab w:val="clear" w:pos="432"/>
          <w:tab w:val="clear" w:pos="648"/>
          <w:tab w:val="clear" w:pos="864"/>
          <w:tab w:val="clear" w:pos="1080"/>
          <w:tab w:val="clear" w:pos="1296"/>
          <w:tab w:val="clear" w:pos="5904"/>
          <w:tab w:val="right" w:pos="5933"/>
        </w:tabs>
      </w:pPr>
      <w:r>
        <w:t>June 2, 2010</w:t>
      </w:r>
    </w:p>
    <w:p w:rsidR="004B176F" w:rsidRDefault="004B176F" w:rsidP="00A94286">
      <w:pPr>
        <w:pStyle w:val="BillDots"/>
        <w:tabs>
          <w:tab w:val="clear" w:pos="216"/>
          <w:tab w:val="clear" w:pos="432"/>
          <w:tab w:val="clear" w:pos="648"/>
          <w:tab w:val="clear" w:pos="864"/>
          <w:tab w:val="clear" w:pos="1080"/>
          <w:tab w:val="clear" w:pos="1296"/>
          <w:tab w:val="clear" w:pos="5904"/>
          <w:tab w:val="right" w:pos="5933"/>
        </w:tabs>
      </w:pPr>
    </w:p>
    <w:p w:rsidR="004B176F" w:rsidRPr="00A94286" w:rsidRDefault="004B176F" w:rsidP="00A94286">
      <w:pPr>
        <w:pStyle w:val="BillDots"/>
        <w:tabs>
          <w:tab w:val="clear" w:pos="216"/>
          <w:tab w:val="clear" w:pos="432"/>
          <w:tab w:val="clear" w:pos="648"/>
          <w:tab w:val="clear" w:pos="864"/>
          <w:tab w:val="clear" w:pos="1080"/>
          <w:tab w:val="clear" w:pos="1296"/>
          <w:tab w:val="clear" w:pos="5904"/>
          <w:tab w:val="right" w:pos="5933"/>
        </w:tabs>
      </w:pPr>
      <w:r>
        <w:tab/>
      </w:r>
      <w:r>
        <w:rPr>
          <w:b/>
          <w:sz w:val="36"/>
        </w:rPr>
        <w:t>H. 4430</w:t>
      </w:r>
    </w:p>
    <w:p w:rsidR="004B176F" w:rsidRDefault="004B176F" w:rsidP="00253959">
      <w:pPr>
        <w:pStyle w:val="BillDots"/>
      </w:pPr>
    </w:p>
    <w:p w:rsidR="004B176F" w:rsidRDefault="004B176F" w:rsidP="00253959">
      <w:pPr>
        <w:pStyle w:val="BillDots"/>
      </w:pPr>
      <w:r>
        <w:t xml:space="preserve">Introduced by </w:t>
      </w:r>
      <w:r w:rsidRPr="00A24227">
        <w:t>Reps. Merrill, Lowe, Bingham, Hutto, Limehouse, Crawford, Harrell, Harrison and G.M. Smith</w:t>
      </w:r>
    </w:p>
    <w:p w:rsidR="004B176F" w:rsidRDefault="004B176F" w:rsidP="00253959">
      <w:pPr>
        <w:pStyle w:val="BillDots"/>
      </w:pPr>
    </w:p>
    <w:p w:rsidR="004B176F" w:rsidRDefault="004B176F" w:rsidP="00253959">
      <w:pPr>
        <w:pStyle w:val="BillDots"/>
      </w:pPr>
      <w:r>
        <w:t>S. Printed 6/2/10--S.</w:t>
      </w:r>
    </w:p>
    <w:p w:rsidR="004B176F" w:rsidRDefault="004B176F" w:rsidP="00253959">
      <w:pPr>
        <w:pStyle w:val="BillDots"/>
      </w:pPr>
      <w:r>
        <w:t>Read the first time April 27, 2010.</w:t>
      </w:r>
    </w:p>
    <w:p w:rsidR="004B176F" w:rsidRDefault="004B176F" w:rsidP="0024002A">
      <w:pPr>
        <w:pStyle w:val="BillDots"/>
        <w:jc w:val="center"/>
      </w:pPr>
      <w:r>
        <w:rPr>
          <w:u w:val="single"/>
        </w:rPr>
        <w:t>            </w:t>
      </w:r>
    </w:p>
    <w:p w:rsidR="004B176F" w:rsidRPr="00A94286" w:rsidRDefault="004B176F" w:rsidP="00253959">
      <w:pPr>
        <w:pStyle w:val="BillDots"/>
        <w:sectPr w:rsidR="004B176F" w:rsidRPr="00A94286" w:rsidSect="00B35B9E">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4B176F" w:rsidRDefault="004B176F" w:rsidP="00253959">
      <w:pPr>
        <w:pStyle w:val="BillDots"/>
      </w:pPr>
    </w:p>
    <w:p w:rsidR="004B176F" w:rsidRDefault="004B176F" w:rsidP="00253959">
      <w:pPr>
        <w:pStyle w:val="Numbersforbills"/>
      </w:pPr>
    </w:p>
    <w:p w:rsidR="004B176F" w:rsidRDefault="004B176F"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Pr="00325348" w:rsidRDefault="004B176F"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76F" w:rsidRDefault="004B1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Pr="00583BA0" w:rsidRDefault="004B176F"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SECTION</w:t>
      </w:r>
      <w:r w:rsidRPr="00583BA0">
        <w:tab/>
        <w:t>1.</w:t>
      </w:r>
      <w:r w:rsidRPr="00583BA0">
        <w:tab/>
        <w:t>Chapter 43, Title 12 of the 1976 Code is amended by adding:</w:t>
      </w:r>
    </w:p>
    <w:p w:rsidR="004B176F" w:rsidRDefault="004B176F"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76F" w:rsidRPr="00583BA0" w:rsidRDefault="004B176F"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ab/>
        <w:t>“Section 12</w:t>
      </w:r>
      <w:r w:rsidRPr="00583BA0">
        <w:noBreakHyphen/>
        <w:t>43</w:t>
      </w:r>
      <w:r w:rsidRPr="00583BA0">
        <w:noBreakHyphen/>
        <w:t>219.</w:t>
      </w:r>
      <w:r w:rsidRPr="00583BA0">
        <w:tab/>
        <w:t>If the boundaries of a municipality extend into more than one county and those counties implement the countywide appraisal and equalization programs required pursuant to Section 12</w:t>
      </w:r>
      <w:r w:rsidRPr="00583BA0">
        <w:noBreakHyphen/>
        <w:t>43</w:t>
      </w:r>
      <w:r w:rsidRPr="00583BA0">
        <w:noBreakHyphen/>
        <w:t>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section being to equalize the tax burdens within this municipality.”</w:t>
      </w:r>
    </w:p>
    <w:p w:rsidR="004B176F" w:rsidRDefault="004B176F"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45, Title 12 of the 1976 Code is amended by adding:</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Section 12</w:t>
      </w:r>
      <w:r>
        <w:rPr>
          <w:color w:val="000000" w:themeColor="text1"/>
          <w:u w:color="000000" w:themeColor="text1"/>
        </w:rPr>
        <w:noBreakHyphen/>
        <w:t>45</w:t>
      </w:r>
      <w:r>
        <w:rPr>
          <w:color w:val="000000" w:themeColor="text1"/>
          <w:u w:color="000000" w:themeColor="text1"/>
        </w:rPr>
        <w:noBreakHyphen/>
        <w:t>17.</w:t>
      </w:r>
      <w:r>
        <w:rPr>
          <w:color w:val="000000" w:themeColor="text1"/>
          <w:u w:color="000000" w:themeColor="text1"/>
        </w:rPr>
        <w:tab/>
        <w:t>(A)</w:t>
      </w:r>
      <w:r>
        <w:rPr>
          <w:color w:val="000000" w:themeColor="text1"/>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for reasonable cause, may excuse a person serving as the county tax collector from attending these courses for any year.</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provisions of this section do not apply to a county treasurer who is also the county tax collector and completes satisfactorily the requirements of Section 12</w:t>
      </w:r>
      <w:r>
        <w:rPr>
          <w:color w:val="000000" w:themeColor="text1"/>
          <w:u w:color="000000" w:themeColor="text1"/>
        </w:rPr>
        <w:noBreakHyphen/>
        <w:t>45</w:t>
      </w:r>
      <w:r>
        <w:rPr>
          <w:color w:val="000000" w:themeColor="text1"/>
          <w:u w:color="000000" w:themeColor="text1"/>
        </w:rPr>
        <w:noBreakHyphen/>
        <w:t>15.”</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59, Title 12 of the 1976 Code is amended by adding:</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59</w:t>
      </w:r>
      <w:r>
        <w:rPr>
          <w:color w:val="000000" w:themeColor="text1"/>
          <w:u w:color="000000" w:themeColor="text1"/>
        </w:rPr>
        <w:noBreakHyphen/>
        <w:t>85.</w:t>
      </w:r>
      <w:r>
        <w:rPr>
          <w:color w:val="000000" w:themeColor="text1"/>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2725 of the 1976 Code is amended to read: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2725.</w:t>
      </w:r>
      <w:r>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color w:val="000000" w:themeColor="text1"/>
          <w:u w:val="single" w:color="000000" w:themeColor="text1"/>
        </w:rPr>
        <w:t>A receipt form 5051 issued by the Department of Motor Vehicles substitutes for the license plate and registration certificate otherwise required.</w:t>
      </w:r>
      <w:r>
        <w:rPr>
          <w:color w:val="000000" w:themeColor="text1"/>
          <w:u w:color="000000" w:themeColor="text1"/>
        </w:rPr>
        <w:t xml:space="preserve">  The amount of the refund or credit is that proportion of the tax paid that is equal to that proportion of the complete months remaining in that tax year.  The auditor, within five days </w:t>
      </w:r>
      <w:r>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w:t>
      </w:r>
      <w:r>
        <w:rPr>
          <w:color w:val="000000" w:themeColor="text1"/>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strike/>
          <w:color w:val="000000" w:themeColor="text1"/>
          <w:u w:color="000000" w:themeColor="text1"/>
        </w:rPr>
        <w:t>the same</w:t>
      </w:r>
      <w:r>
        <w:rPr>
          <w:color w:val="000000" w:themeColor="text1"/>
          <w:u w:color="000000" w:themeColor="text1"/>
        </w:rPr>
        <w:t xml:space="preserve"> </w:t>
      </w:r>
      <w:r>
        <w:rPr>
          <w:color w:val="000000" w:themeColor="text1"/>
          <w:u w:val="single" w:color="000000" w:themeColor="text1"/>
        </w:rPr>
        <w:t>them</w:t>
      </w:r>
      <w:r>
        <w:rPr>
          <w:color w:val="000000" w:themeColor="text1"/>
          <w:u w:color="000000" w:themeColor="text1"/>
        </w:rPr>
        <w:t>.”</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3150(A)(8) of the 1976 Code, as added by Act 57 of 2007, is amended to read: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 a transfer of an ownership interest in a single transaction or as a part of a series of related transactions within a twenty</w:t>
      </w:r>
      <w:r>
        <w:rPr>
          <w:color w:val="000000" w:themeColor="text1"/>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color w:val="000000" w:themeColor="text1"/>
          <w:u w:color="000000" w:themeColor="text1"/>
        </w:rPr>
        <w:noBreakHyphen/>
        <w:t>five days after a conveyance of an ownership interest that constitutes an assessable transfer of interest or transfer of ownership under this item</w:t>
      </w:r>
      <w:r>
        <w:rPr>
          <w:strike/>
          <w:color w:val="000000" w:themeColor="text1"/>
          <w:u w:color="000000" w:themeColor="text1"/>
        </w:rPr>
        <w:t>;</w:t>
      </w:r>
      <w:r>
        <w:rPr>
          <w:color w:val="000000" w:themeColor="text1"/>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color w:val="000000" w:themeColor="text1"/>
          <w:u w:color="000000" w:themeColor="text1"/>
        </w:rPr>
        <w:t>”</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220 of the 1976 Code is amended to read: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220.</w:t>
      </w:r>
      <w:r>
        <w:rPr>
          <w:color w:val="000000" w:themeColor="text1"/>
          <w:u w:color="000000" w:themeColor="text1"/>
        </w:rPr>
        <w:tab/>
        <w:t xml:space="preserve">If the county </w:t>
      </w:r>
      <w:r>
        <w:rPr>
          <w:strike/>
          <w:color w:val="000000" w:themeColor="text1"/>
          <w:u w:color="000000" w:themeColor="text1"/>
        </w:rPr>
        <w:t>auditor shall at any time discover</w:t>
      </w:r>
      <w:r>
        <w:rPr>
          <w:color w:val="000000" w:themeColor="text1"/>
          <w:u w:color="000000" w:themeColor="text1"/>
        </w:rPr>
        <w:t xml:space="preserve"> </w:t>
      </w:r>
      <w:r>
        <w:rPr>
          <w:color w:val="000000" w:themeColor="text1"/>
          <w:u w:val="single" w:color="000000" w:themeColor="text1"/>
        </w:rPr>
        <w:t>assessor discovers</w:t>
      </w:r>
      <w:r>
        <w:rPr>
          <w:color w:val="000000" w:themeColor="text1"/>
          <w:u w:color="000000" w:themeColor="text1"/>
        </w:rPr>
        <w:t xml:space="preserve"> that </w:t>
      </w:r>
      <w:r>
        <w:rPr>
          <w:strike/>
          <w:color w:val="000000" w:themeColor="text1"/>
          <w:u w:color="000000" w:themeColor="text1"/>
        </w:rPr>
        <w:t>any</w:t>
      </w:r>
      <w:r>
        <w:rPr>
          <w:color w:val="000000" w:themeColor="text1"/>
          <w:u w:color="000000" w:themeColor="text1"/>
        </w:rPr>
        <w:t xml:space="preserve"> real estate or </w:t>
      </w:r>
      <w:r>
        <w:rPr>
          <w:color w:val="000000" w:themeColor="text1"/>
          <w:u w:val="single" w:color="000000" w:themeColor="text1"/>
        </w:rPr>
        <w:t>a</w:t>
      </w:r>
      <w:r>
        <w:rPr>
          <w:color w:val="000000" w:themeColor="text1"/>
          <w:u w:color="000000" w:themeColor="text1"/>
        </w:rPr>
        <w:t xml:space="preserve"> new structure </w:t>
      </w:r>
      <w:r>
        <w:rPr>
          <w:color w:val="000000" w:themeColor="text1"/>
          <w:u w:val="single" w:color="000000" w:themeColor="text1"/>
        </w:rPr>
        <w:t>or if the auditor discovers personal property</w:t>
      </w:r>
      <w:r>
        <w:rPr>
          <w:color w:val="000000" w:themeColor="text1"/>
          <w:u w:color="000000" w:themeColor="text1"/>
        </w:rPr>
        <w:t xml:space="preserve">, duly returned and appraised for taxation, has been omitted from the duplicate, he </w:t>
      </w:r>
      <w:r>
        <w:rPr>
          <w:strike/>
          <w:color w:val="000000" w:themeColor="text1"/>
          <w:u w:color="000000" w:themeColor="text1"/>
        </w:rPr>
        <w:t>shall</w:t>
      </w:r>
      <w:r>
        <w:rPr>
          <w:color w:val="000000" w:themeColor="text1"/>
          <w:u w:color="000000" w:themeColor="text1"/>
        </w:rPr>
        <w:t xml:space="preserve"> immediately </w:t>
      </w:r>
      <w:r>
        <w:rPr>
          <w:color w:val="000000" w:themeColor="text1"/>
          <w:u w:val="single" w:color="000000" w:themeColor="text1"/>
        </w:rPr>
        <w:t>shall notify the auditor who shall immediately</w:t>
      </w:r>
      <w:r>
        <w:rPr>
          <w:color w:val="000000" w:themeColor="text1"/>
          <w:u w:color="000000" w:themeColor="text1"/>
        </w:rPr>
        <w:t xml:space="preserve"> charge it on the duplicate with the taxes of the current year and the simple taxes of each preceding year </w:t>
      </w:r>
      <w:r>
        <w:rPr>
          <w:strike/>
          <w:color w:val="000000" w:themeColor="text1"/>
          <w:u w:color="000000" w:themeColor="text1"/>
        </w:rPr>
        <w:t>it may have escaped taxation.  And if</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  If</w:t>
      </w:r>
      <w:r>
        <w:rPr>
          <w:color w:val="000000" w:themeColor="text1"/>
          <w:u w:color="000000" w:themeColor="text1"/>
        </w:rPr>
        <w:t xml:space="preserve"> the owner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real estate </w:t>
      </w:r>
      <w:r>
        <w:rPr>
          <w:strike/>
          <w:color w:val="000000" w:themeColor="text1"/>
          <w:u w:color="000000" w:themeColor="text1"/>
        </w:rPr>
        <w:t>or</w:t>
      </w:r>
      <w:r>
        <w:rPr>
          <w:color w:val="000000" w:themeColor="text1"/>
          <w:u w:val="single" w:color="000000" w:themeColor="text1"/>
        </w:rPr>
        <w:t>,</w:t>
      </w:r>
      <w:r>
        <w:rPr>
          <w:color w:val="000000" w:themeColor="text1"/>
          <w:u w:color="000000" w:themeColor="text1"/>
        </w:rPr>
        <w:t xml:space="preserve"> new structure </w:t>
      </w:r>
      <w:r>
        <w:rPr>
          <w:strike/>
          <w:color w:val="000000" w:themeColor="text1"/>
          <w:u w:color="000000" w:themeColor="text1"/>
        </w:rPr>
        <w:t>thereon</w:t>
      </w:r>
      <w:r>
        <w:rPr>
          <w:color w:val="000000" w:themeColor="text1"/>
          <w:u w:color="000000" w:themeColor="text1"/>
        </w:rPr>
        <w:t xml:space="preserve">, </w:t>
      </w:r>
      <w:r>
        <w:rPr>
          <w:color w:val="000000" w:themeColor="text1"/>
          <w:u w:val="single" w:color="000000" w:themeColor="text1"/>
        </w:rPr>
        <w:t>or personal property</w:t>
      </w:r>
      <w:r>
        <w:rPr>
          <w:color w:val="000000" w:themeColor="text1"/>
          <w:u w:color="000000" w:themeColor="text1"/>
        </w:rPr>
        <w:t xml:space="preserve"> subject to taxation</w:t>
      </w:r>
      <w:r>
        <w:rPr>
          <w:strike/>
          <w:color w:val="000000" w:themeColor="text1"/>
          <w:u w:color="000000" w:themeColor="text1"/>
        </w:rPr>
        <w:t>,</w:t>
      </w:r>
      <w:r>
        <w:rPr>
          <w:color w:val="000000" w:themeColor="text1"/>
          <w:u w:color="000000" w:themeColor="text1"/>
        </w:rPr>
        <w:t xml:space="preserve"> has not reported it for taxation, according to the requirements of this chapter, and it has not been appraised for taxation, the </w:t>
      </w:r>
      <w:r>
        <w:rPr>
          <w:strike/>
          <w:color w:val="000000" w:themeColor="text1"/>
          <w:u w:color="000000" w:themeColor="text1"/>
        </w:rPr>
        <w:t>auditor shall</w:t>
      </w:r>
      <w:r>
        <w:rPr>
          <w:color w:val="000000" w:themeColor="text1"/>
          <w:u w:color="000000" w:themeColor="text1"/>
        </w:rPr>
        <w:t xml:space="preserve"> </w:t>
      </w:r>
      <w:r>
        <w:rPr>
          <w:color w:val="000000" w:themeColor="text1"/>
          <w:u w:val="single" w:color="000000" w:themeColor="text1"/>
        </w:rPr>
        <w:t>appropriate official</w:t>
      </w:r>
      <w:r>
        <w:rPr>
          <w:color w:val="000000" w:themeColor="text1"/>
          <w:u w:color="000000" w:themeColor="text1"/>
        </w:rPr>
        <w:t xml:space="preserve">, upon discovery </w:t>
      </w:r>
      <w:r>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that</w:t>
      </w:r>
      <w:r>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appraise it and, upon making return of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appraisement, shall charge it upon the duplicate, with the taxes of the then current year and the taxes of each preceding year </w:t>
      </w:r>
      <w:r>
        <w:rPr>
          <w:strike/>
          <w:color w:val="000000" w:themeColor="text1"/>
          <w:u w:color="000000" w:themeColor="text1"/>
        </w:rPr>
        <w:t>it may have escaped taxation</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w:t>
      </w:r>
      <w:r>
        <w:rPr>
          <w:color w:val="000000" w:themeColor="text1"/>
          <w:u w:color="000000" w:themeColor="text1"/>
        </w:rPr>
        <w:t xml:space="preserve">, with twenty percent penalty upon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taxes of preceding years.  </w:t>
      </w:r>
      <w:r>
        <w:rPr>
          <w:strike/>
          <w:color w:val="000000" w:themeColor="text1"/>
          <w:u w:color="000000" w:themeColor="text1"/>
        </w:rPr>
        <w:t>And if any</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real estate </w:t>
      </w:r>
      <w:r>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been omitted in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the </w:t>
      </w:r>
      <w:r>
        <w:rPr>
          <w:strike/>
          <w:color w:val="000000" w:themeColor="text1"/>
          <w:u w:color="000000" w:themeColor="text1"/>
        </w:rPr>
        <w:t>auditor</w:t>
      </w:r>
      <w:r>
        <w:rPr>
          <w:color w:val="000000" w:themeColor="text1"/>
          <w:u w:color="000000" w:themeColor="text1"/>
        </w:rPr>
        <w:t xml:space="preserve"> </w:t>
      </w:r>
      <w:r>
        <w:rPr>
          <w:color w:val="000000" w:themeColor="text1"/>
          <w:u w:val="single" w:color="000000" w:themeColor="text1"/>
        </w:rPr>
        <w:t>assessor</w:t>
      </w:r>
      <w:r>
        <w:rPr>
          <w:color w:val="000000" w:themeColor="text1"/>
          <w:u w:color="000000" w:themeColor="text1"/>
        </w:rPr>
        <w:t xml:space="preserve"> of the county shall appraise it immediately for taxation, file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appraisement in his office and </w:t>
      </w:r>
      <w:r>
        <w:rPr>
          <w:color w:val="000000" w:themeColor="text1"/>
          <w:u w:val="single"/>
        </w:rPr>
        <w:t>the auditor shall</w:t>
      </w:r>
      <w:r>
        <w:rPr>
          <w:color w:val="000000" w:themeColor="text1"/>
        </w:rPr>
        <w:t xml:space="preserve"> </w:t>
      </w:r>
      <w:r>
        <w:rPr>
          <w:color w:val="000000" w:themeColor="text1"/>
          <w:u w:color="000000" w:themeColor="text1"/>
        </w:rPr>
        <w:t xml:space="preserve">charge it with the taxes of the current year and the simple taxes of preceding years </w:t>
      </w:r>
      <w:r>
        <w:rPr>
          <w:strike/>
          <w:color w:val="000000" w:themeColor="text1"/>
          <w:u w:color="000000" w:themeColor="text1"/>
        </w:rPr>
        <w:t>it may have escaped taxation</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w:t>
      </w:r>
      <w:r>
        <w:rPr>
          <w:color w:val="000000" w:themeColor="text1"/>
          <w:u w:color="000000" w:themeColor="text1"/>
        </w:rPr>
        <w:t>.”</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50 of the 1976 Code, as last amended by Act 399 of 2000, is further amended to read: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50.</w:t>
      </w:r>
      <w:r>
        <w:rPr>
          <w:color w:val="000000" w:themeColor="text1"/>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strike/>
          <w:color w:val="000000" w:themeColor="text1"/>
          <w:u w:color="000000" w:themeColor="text1"/>
        </w:rPr>
        <w:t>a legal sales</w:t>
      </w:r>
      <w:r>
        <w:rPr>
          <w:color w:val="000000" w:themeColor="text1"/>
          <w:u w:color="000000" w:themeColor="text1"/>
        </w:rPr>
        <w:t xml:space="preserve"> </w:t>
      </w:r>
      <w:r>
        <w:rPr>
          <w:color w:val="000000" w:themeColor="text1"/>
          <w:u w:val="single" w:color="000000" w:themeColor="text1"/>
        </w:rPr>
        <w:t>the advertised</w:t>
      </w:r>
      <w:r>
        <w:rPr>
          <w:color w:val="000000" w:themeColor="text1"/>
          <w:u w:color="000000" w:themeColor="text1"/>
        </w:rPr>
        <w:t xml:space="preserve"> date </w:t>
      </w:r>
      <w:r>
        <w:rPr>
          <w:strike/>
          <w:color w:val="000000" w:themeColor="text1"/>
          <w:u w:color="000000" w:themeColor="text1"/>
        </w:rPr>
        <w:t>during regular hours</w:t>
      </w:r>
      <w:r>
        <w:rPr>
          <w:color w:val="000000" w:themeColor="text1"/>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strike/>
          <w:color w:val="000000" w:themeColor="text1"/>
          <w:u w:color="000000" w:themeColor="text1"/>
        </w:rPr>
        <w:t>may</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not be sold.”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70 of the 1976 Code is amended to read: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70.</w:t>
      </w:r>
      <w:r>
        <w:rPr>
          <w:color w:val="000000" w:themeColor="text1"/>
          <w:u w:color="000000" w:themeColor="text1"/>
        </w:rPr>
        <w:tab/>
      </w:r>
      <w:r>
        <w:rPr>
          <w:strike/>
          <w:color w:val="000000" w:themeColor="text1"/>
          <w:u w:color="000000" w:themeColor="text1"/>
        </w:rPr>
        <w:t>In case</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strike/>
          <w:color w:val="000000" w:themeColor="text1"/>
          <w:u w:color="000000" w:themeColor="text1"/>
        </w:rPr>
        <w:t>three hundred</w:t>
      </w:r>
      <w:r>
        <w:rPr>
          <w:color w:val="000000" w:themeColor="text1"/>
          <w:u w:color="000000" w:themeColor="text1"/>
        </w:rPr>
        <w:t xml:space="preserve"> </w:t>
      </w:r>
      <w:r>
        <w:rPr>
          <w:color w:val="000000" w:themeColor="text1"/>
          <w:u w:val="single" w:color="000000" w:themeColor="text1"/>
        </w:rPr>
        <w:t>one thousand</w:t>
      </w:r>
      <w:r>
        <w:rPr>
          <w:color w:val="000000" w:themeColor="text1"/>
          <w:u w:color="000000" w:themeColor="text1"/>
        </w:rPr>
        <w:t xml:space="preserve"> dollars damages upon default, which may be collected by suit by the person officially charged with the collection of delinquent taxes in the name of the taxing authority.”</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12</w:t>
      </w:r>
      <w:r>
        <w:rPr>
          <w:color w:val="000000" w:themeColor="text1"/>
          <w:u w:color="000000" w:themeColor="text1"/>
        </w:rPr>
        <w:noBreakHyphen/>
        <w:t>54</w:t>
      </w:r>
      <w:r>
        <w:rPr>
          <w:color w:val="000000" w:themeColor="text1"/>
          <w:u w:color="000000" w:themeColor="text1"/>
        </w:rPr>
        <w:noBreakHyphen/>
        <w:t>85(C) of the 1976 Code, as last amended by Act 116 of 2007, is further amended to read:</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 Taxes may be determined and assessed after the thirty</w:t>
      </w:r>
      <w:r>
        <w:rPr>
          <w:color w:val="000000" w:themeColor="text1"/>
          <w:u w:color="000000" w:themeColor="text1"/>
        </w:rPr>
        <w:noBreakHyphen/>
        <w:t xml:space="preserve">six month limitation if: </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there is fraudulent intent to evade the taxes; </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taxpayer failed to file a return or document as required by law; </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strike/>
          <w:color w:val="000000" w:themeColor="text1"/>
          <w:u w:color="000000" w:themeColor="text1"/>
        </w:rPr>
        <w:t>or</w:t>
      </w:r>
      <w:r>
        <w:rPr>
          <w:color w:val="000000" w:themeColor="text1"/>
          <w:u w:color="000000" w:themeColor="text1"/>
        </w:rPr>
        <w:t xml:space="preserve"> </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t>two months after the last day the use tax may be paid without penalty</w:t>
      </w:r>
      <w:r>
        <w:rPr>
          <w:strike/>
          <w:color w:val="000000" w:themeColor="text1"/>
          <w:u w:color="000000" w:themeColor="text1"/>
        </w:rPr>
        <w:t>.</w:t>
      </w:r>
      <w:r>
        <w:rPr>
          <w:color w:val="000000" w:themeColor="text1"/>
          <w:u w:val="single" w:color="000000" w:themeColor="text1"/>
        </w:rPr>
        <w:t>; or</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the property has been omitted pursuant to Section 12</w:t>
      </w:r>
      <w:r>
        <w:rPr>
          <w:color w:val="000000" w:themeColor="text1"/>
          <w:u w:val="single" w:color="000000" w:themeColor="text1"/>
        </w:rPr>
        <w:noBreakHyphen/>
        <w:t>39</w:t>
      </w:r>
      <w:r>
        <w:rPr>
          <w:color w:val="000000" w:themeColor="text1"/>
          <w:u w:val="single" w:color="000000" w:themeColor="text1"/>
        </w:rPr>
        <w:noBreakHyphen/>
        <w:t>220.  In this case, the taxes may be assessed at any time within the seventy</w:t>
      </w:r>
      <w:r>
        <w:rPr>
          <w:color w:val="000000" w:themeColor="text1"/>
          <w:u w:val="single" w:color="000000" w:themeColor="text1"/>
        </w:rPr>
        <w:noBreakHyphen/>
        <w:t>two months from the date the taxes would have been due.</w:t>
      </w:r>
      <w:r>
        <w:rPr>
          <w:color w:val="000000" w:themeColor="text1"/>
          <w:u w:color="000000" w:themeColor="text1"/>
        </w:rPr>
        <w:t>”</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8D75AE">
        <w:rPr>
          <w:snapToGrid w:val="0"/>
        </w:rPr>
        <w:t>.</w:t>
      </w:r>
      <w:r w:rsidRPr="008D75AE">
        <w:rPr>
          <w:snapToGrid w:val="0"/>
        </w:rPr>
        <w:tab/>
        <w:t>Section 12</w:t>
      </w:r>
      <w:r>
        <w:rPr>
          <w:snapToGrid w:val="0"/>
        </w:rPr>
        <w:noBreakHyphen/>
      </w:r>
      <w:r w:rsidRPr="008D75AE">
        <w:rPr>
          <w:snapToGrid w:val="0"/>
        </w:rPr>
        <w:t>43</w:t>
      </w:r>
      <w:r>
        <w:rPr>
          <w:snapToGrid w:val="0"/>
        </w:rPr>
        <w:noBreakHyphen/>
      </w:r>
      <w:r w:rsidRPr="008D75AE">
        <w:rPr>
          <w:snapToGrid w:val="0"/>
        </w:rPr>
        <w:t>220(c)(2)</w:t>
      </w:r>
      <w:r>
        <w:rPr>
          <w:snapToGrid w:val="0"/>
        </w:rPr>
        <w:t xml:space="preserve"> </w:t>
      </w:r>
      <w:r w:rsidRPr="008D75AE">
        <w:rPr>
          <w:snapToGrid w:val="0"/>
        </w:rPr>
        <w:t>of the 1976 Code is amended to read:</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rPr>
          <w:snapToGrid w:val="0"/>
        </w:rPr>
        <w:tab/>
        <w:t>“</w:t>
      </w:r>
      <w:r w:rsidRPr="008D75AE">
        <w:t>(2)(i)</w:t>
      </w:r>
      <w:r w:rsidRPr="008D75AE">
        <w:tab/>
        <w:t>To qualify for the special property tax assessment ratio allowed by this item, the owner</w:t>
      </w:r>
      <w:r>
        <w:noBreakHyphen/>
      </w:r>
      <w:r w:rsidRPr="008D75AE">
        <w:t xml:space="preserve">occupant must have actually owned and occupied the residence as his legal residence and been domiciled at that address for some period during the applicable tax year.  </w:t>
      </w:r>
      <w:r w:rsidRPr="008D75AE">
        <w:rPr>
          <w:u w:val="single"/>
        </w:rPr>
        <w:t>Additionally, the taxpayer must provide his social security number and the social security number of all members of his household.</w:t>
      </w:r>
      <w:r w:rsidRPr="008D75AE">
        <w:t xml:space="preserve">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r>
      <w:r w:rsidRPr="008D75AE">
        <w:t>37</w:t>
      </w:r>
      <w:r>
        <w:noBreakHyphen/>
      </w:r>
      <w:r w:rsidRPr="008D75AE">
        <w:t>251 for the entire year, and for the homestead exemption under Section 12</w:t>
      </w:r>
      <w:r>
        <w:noBreakHyphen/>
      </w:r>
      <w:r w:rsidRPr="008D75AE">
        <w:t>37</w:t>
      </w:r>
      <w:r>
        <w:noBreakHyphen/>
      </w:r>
      <w:r w:rsidRPr="008D75AE">
        <w:t xml:space="preserve">250, if otherwise eligible, for the entire year.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w:t>
      </w:r>
      <w:r w:rsidRPr="008D75AE">
        <w:tab/>
        <w:t>This item does not apply unless the owner of the property or the owner</w:t>
      </w:r>
      <w:r w:rsidRPr="001C034B">
        <w:t>’</w:t>
      </w:r>
      <w:r w:rsidRPr="008D75AE">
        <w:t xml:space="preserve">s agent applies for the four percent assessment ratio before the first penalty date for the payment of taxes for the tax year for which the owner first claims eligibility for this assessment ratio.  In the application the owner or his agent must certify to the following statement: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34B">
        <w:t>‘</w:t>
      </w:r>
      <w:r w:rsidRPr="008D75AE">
        <w:t xml:space="preserve">Under penalty of perjury I certify that: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 xml:space="preserve">the residence which is the subject of this application is my legal residence and where I am domiciled at the time of this application and that </w:t>
      </w:r>
      <w:r w:rsidRPr="008D75AE">
        <w:rPr>
          <w:u w:val="single"/>
        </w:rPr>
        <w:t>neither</w:t>
      </w:r>
      <w:r w:rsidRPr="008D75AE">
        <w:t xml:space="preserve"> I</w:t>
      </w:r>
      <w:r>
        <w:t xml:space="preserve"> </w:t>
      </w:r>
      <w:r w:rsidRPr="008D75AE">
        <w:rPr>
          <w:strike/>
        </w:rPr>
        <w:t>do not</w:t>
      </w:r>
      <w:r>
        <w:t xml:space="preserve"> </w:t>
      </w:r>
      <w:r>
        <w:rPr>
          <w:u w:val="single"/>
        </w:rPr>
        <w:t>n</w:t>
      </w:r>
      <w:r w:rsidRPr="008D75AE">
        <w:rPr>
          <w:u w:val="single"/>
        </w:rPr>
        <w:t>or my spouse</w:t>
      </w:r>
      <w:r w:rsidRPr="008D75AE">
        <w:t xml:space="preserve"> claim to be a legal resident of a jurisdiction other than S</w:t>
      </w:r>
      <w:r>
        <w:t>outh Carolina for any purpose</w:t>
      </w:r>
      <w:r>
        <w:rPr>
          <w:u w:val="single"/>
        </w:rPr>
        <w:t>, unless my spouse and I are separated</w:t>
      </w:r>
      <w:r>
        <w:t xml:space="preserve">; </w:t>
      </w:r>
      <w:r w:rsidRPr="008D75AE">
        <w:t xml:space="preserve">and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that neither I nor any other member of my household is residing in or occupying any other residence which I or any member of my immediate family has qualified for the special assessment</w:t>
      </w:r>
      <w:r>
        <w:t xml:space="preserve"> ratio allowed by this section.</w:t>
      </w:r>
      <w:r w:rsidRPr="001C034B">
        <w:t>’</w:t>
      </w:r>
      <w:r w:rsidRPr="008D75AE">
        <w:t xml:space="preserve">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(iii)</w:t>
      </w:r>
      <w:r w:rsidRPr="008D75AE">
        <w:tab/>
        <w:t xml:space="preserve">For purposes of subitem (ii)(B) of this item, </w:t>
      </w:r>
      <w:r w:rsidRPr="001C034B">
        <w:t>‘</w:t>
      </w:r>
      <w:r w:rsidRPr="008D75AE">
        <w:t>a member of my household</w:t>
      </w:r>
      <w:r w:rsidRPr="001C034B">
        <w:t>’</w:t>
      </w:r>
      <w:r w:rsidRPr="008D75AE">
        <w:t xml:space="preserve"> means: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the owner</w:t>
      </w:r>
      <w:r>
        <w:noBreakHyphen/>
      </w:r>
      <w:r w:rsidRPr="008D75AE">
        <w:t>occupant</w:t>
      </w:r>
      <w:r w:rsidRPr="001C034B">
        <w:t>’</w:t>
      </w:r>
      <w:r w:rsidRPr="008D75AE">
        <w:t>s spouse, except when that spouse is legally separated from the owner</w:t>
      </w:r>
      <w:r>
        <w:noBreakHyphen/>
      </w:r>
      <w:r w:rsidRPr="008D75AE">
        <w:t xml:space="preserve">occupant; and </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any child under the age of eighteen years of the owner</w:t>
      </w:r>
      <w:r>
        <w:noBreakHyphen/>
      </w:r>
      <w:r w:rsidRPr="008D75AE">
        <w:t>occupant claimed or eligible to be claimed as a dependent on the owner</w:t>
      </w:r>
      <w:r>
        <w:noBreakHyphen/>
      </w:r>
      <w:r w:rsidRPr="008D75AE">
        <w:t>occupant</w:t>
      </w:r>
      <w:r w:rsidRPr="001C034B">
        <w:t>’</w:t>
      </w:r>
      <w:r w:rsidRPr="008D75AE">
        <w:t>s federal income tax return.”</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8D75AE">
        <w:t>.</w:t>
      </w:r>
      <w:r w:rsidRPr="008D75AE">
        <w:tab/>
        <w:t>Chapter 43, Title 12 of the 1976 Code is amended by adding:</w:t>
      </w:r>
    </w:p>
    <w:p w:rsidR="004B176F" w:rsidRPr="008D75AE"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5AE">
        <w:tab/>
        <w:t>“Section 12</w:t>
      </w:r>
      <w:r>
        <w:noBreakHyphen/>
      </w:r>
      <w:r w:rsidRPr="008D75AE">
        <w:t>43</w:t>
      </w:r>
      <w:r>
        <w:noBreakHyphen/>
      </w:r>
      <w:r w:rsidRPr="008D75AE">
        <w:t>226.</w:t>
      </w:r>
      <w:r w:rsidRPr="008D75AE">
        <w:tab/>
        <w:t>Notwithstanding any other provision of law, the county assessor may require a taxpayer to re</w:t>
      </w:r>
      <w:r>
        <w:noBreakHyphen/>
      </w:r>
      <w:r w:rsidRPr="008D75AE">
        <w:t>qualify for the special four percent assessment ratio set forth in Section 12</w:t>
      </w:r>
      <w:r>
        <w:noBreakHyphen/>
      </w:r>
      <w:r w:rsidRPr="008D75AE">
        <w:t>43</w:t>
      </w:r>
      <w:r>
        <w:noBreakHyphen/>
      </w:r>
      <w:r w:rsidRPr="008D75AE">
        <w:t>220(c) for all or a portion of the parcels of real estate then receiving the special four percent assessment ratio.  However, no property owner may be required to re</w:t>
      </w:r>
      <w:r>
        <w:noBreakHyphen/>
      </w:r>
      <w:r w:rsidRPr="008D75AE">
        <w:t>qualify more than once every three years.”</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6</w:t>
      </w:r>
      <w:r>
        <w:noBreakHyphen/>
        <w:t>1</w:t>
      </w:r>
      <w:r>
        <w:noBreakHyphen/>
        <w:t xml:space="preserve">530(B)(2) of the 1976 Code, as last amended by Act 314 of 2006, is further amended to read: </w:t>
      </w: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w:t>
      </w:r>
      <w:r>
        <w:noBreakHyphen/>
        <w:t>1</w:t>
      </w:r>
      <w:r>
        <w:noBreakHyphen/>
        <w:t>730(B)(2) of the 1976 Code, as last amended by Act 314 of 2006, is further amended to read:</w:t>
      </w: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hospitality tax authorized pursuant to this article may be used for the additional purposes provided in item (1) of this subsection.</w:t>
      </w: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B176F" w:rsidRPr="00ED5B80"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ED5B80">
        <w:rPr>
          <w:color w:val="000000" w:themeColor="text1"/>
          <w:u w:color="000000" w:themeColor="text1"/>
        </w:rPr>
        <w:t>Section 12</w:t>
      </w:r>
      <w:r w:rsidRPr="00ED5B80">
        <w:rPr>
          <w:color w:val="000000" w:themeColor="text1"/>
          <w:u w:color="000000" w:themeColor="text1"/>
        </w:rPr>
        <w:noBreakHyphen/>
        <w:t>37</w:t>
      </w:r>
      <w:r w:rsidRPr="00ED5B80">
        <w:rPr>
          <w:color w:val="000000" w:themeColor="text1"/>
          <w:u w:color="000000" w:themeColor="text1"/>
        </w:rPr>
        <w:noBreakHyphen/>
        <w:t>251(E) of the 1976 Code is amended to read:</w:t>
      </w:r>
    </w:p>
    <w:p w:rsidR="004B176F" w:rsidRPr="00ED5B80"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76F" w:rsidRPr="00ED5B80"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B80">
        <w:rPr>
          <w:color w:val="000000" w:themeColor="text1"/>
          <w:u w:color="000000" w:themeColor="text1"/>
        </w:rPr>
        <w:tab/>
        <w:t>“(E)</w:t>
      </w:r>
      <w:r w:rsidRPr="00ED5B80">
        <w:rPr>
          <w:color w:val="000000" w:themeColor="text1"/>
          <w:u w:color="000000" w:themeColor="text1"/>
        </w:rPr>
        <w:tab/>
      </w:r>
      <w:r w:rsidRPr="00ED5B80">
        <w:t xml:space="preserve">Rollback millage is calculated by dividing the prior year property </w:t>
      </w:r>
      <w:r w:rsidRPr="00ED5B80">
        <w:rPr>
          <w:strike/>
        </w:rPr>
        <w:t>tax revenues</w:t>
      </w:r>
      <w:r w:rsidRPr="00ED5B80">
        <w:t xml:space="preserve"> </w:t>
      </w:r>
      <w:r w:rsidRPr="00ED5B80">
        <w:rPr>
          <w:u w:val="single"/>
        </w:rPr>
        <w:t>taxes le</w:t>
      </w:r>
      <w:r>
        <w:rPr>
          <w:u w:val="single"/>
        </w:rPr>
        <w:t xml:space="preserve">vied as adjusted by abatements and </w:t>
      </w:r>
      <w:r w:rsidRPr="00ED5B80">
        <w:rPr>
          <w:u w:val="single"/>
        </w:rPr>
        <w:t>additions</w:t>
      </w:r>
      <w:r w:rsidRPr="00ED5B80">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B80">
        <w:t>B.</w:t>
      </w:r>
      <w:r w:rsidRPr="00ED5B80">
        <w:tab/>
        <w:t xml:space="preserve"> This section takes effect for rollback millage calculated for </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B80">
        <w:t>property tax years beginning after 2009.</w:t>
      </w:r>
    </w:p>
    <w:p w:rsidR="004B176F" w:rsidRDefault="004B176F"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Pr="00583BA0">
        <w:t>.</w:t>
      </w:r>
      <w:r w:rsidRPr="00583BA0">
        <w:tab/>
        <w:t>This act takes effect upon approval by the Governor.</w:t>
      </w:r>
    </w:p>
    <w:p w:rsidR="004B176F" w:rsidRDefault="004B176F"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AC1" w:rsidRDefault="00620AC1" w:rsidP="004B176F">
      <w:pPr>
        <w:pStyle w:val="BillDots"/>
        <w:tabs>
          <w:tab w:val="clear" w:pos="216"/>
          <w:tab w:val="clear" w:pos="432"/>
          <w:tab w:val="clear" w:pos="648"/>
          <w:tab w:val="clear" w:pos="864"/>
          <w:tab w:val="clear" w:pos="1080"/>
          <w:tab w:val="clear" w:pos="1296"/>
          <w:tab w:val="clear" w:pos="5904"/>
          <w:tab w:val="right" w:pos="5933"/>
        </w:tabs>
      </w:pPr>
    </w:p>
    <w:sectPr w:rsidR="00620AC1" w:rsidSect="00B35B9E">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E79443-455D-4D78-BC4B-3633BBC58CC4}"/>
    <w:embedBold r:id="rId2" w:fontKey="{DD4A0D62-91F0-4469-91A8-6559812D661A}"/>
  </w:font>
  <w:font w:name="Calibri">
    <w:panose1 w:val="020F0502020204030204"/>
    <w:charset w:val="00"/>
    <w:family w:val="swiss"/>
    <w:pitch w:val="variable"/>
    <w:sig w:usb0="E10002FF" w:usb1="4000ACFF" w:usb2="00000009" w:usb3="00000000" w:csb0="0000019F" w:csb1="00000000"/>
    <w:embedRegular r:id="rId3" w:fontKey="{855A919A-B180-4A63-B562-4B7807F475F4}"/>
  </w:font>
  <w:font w:name="Arial">
    <w:panose1 w:val="020B0604020202020204"/>
    <w:charset w:val="00"/>
    <w:family w:val="swiss"/>
    <w:pitch w:val="variable"/>
    <w:sig w:usb0="20002A87" w:usb1="80000000" w:usb2="00000008" w:usb3="00000000" w:csb0="000001FF" w:csb1="00000000"/>
    <w:embedRegular r:id="rId4" w:fontKey="{D5181929-0FFF-4E29-A847-9552D3D7286A}"/>
    <w:embedBold r:id="rId5" w:fontKey="{43AD9C9D-67CF-4EF9-8830-76DCE08D5C75}"/>
  </w:font>
  <w:font w:name="Tahoma">
    <w:panose1 w:val="020B0604030504040204"/>
    <w:charset w:val="00"/>
    <w:family w:val="swiss"/>
    <w:pitch w:val="variable"/>
    <w:sig w:usb0="21002A87" w:usb1="80000000" w:usb2="00000008" w:usb3="00000000" w:csb0="000101FF" w:csb1="00000000"/>
    <w:embedRegular r:id="rId6" w:fontKey="{2D10ACA2-02F5-4B22-98D5-48150CFF6746}"/>
  </w:font>
  <w:font w:name="Cambria">
    <w:panose1 w:val="02040503050406030204"/>
    <w:charset w:val="00"/>
    <w:family w:val="roman"/>
    <w:pitch w:val="variable"/>
    <w:sig w:usb0="E00002FF" w:usb1="400004FF" w:usb2="00000000" w:usb3="00000000" w:csb0="0000019F" w:csb1="00000000"/>
    <w:embedRegular r:id="rId7" w:fontKey="{543568F1-0D01-4E1C-AE91-9D2D1715A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76F" w:rsidRPr="00620AC1" w:rsidRDefault="004B176F" w:rsidP="00620AC1">
    <w:pPr>
      <w:pStyle w:val="Footer"/>
      <w:tabs>
        <w:tab w:val="clear" w:pos="4680"/>
        <w:tab w:val="clear" w:pos="9360"/>
        <w:tab w:val="center" w:pos="2995"/>
      </w:tabs>
      <w:spacing w:before="120"/>
    </w:pPr>
    <w:r>
      <w:t>[4430-</w:t>
    </w:r>
    <w:r w:rsidR="00D6513F">
      <w:fldChar w:fldCharType="begin"/>
    </w:r>
    <w:r w:rsidR="00D6513F">
      <w:instrText xml:space="preserve"> PAGE  \* MERGEFORMAT </w:instrText>
    </w:r>
    <w:r w:rsidR="00D6513F">
      <w:fldChar w:fldCharType="separate"/>
    </w:r>
    <w:r w:rsidR="00D6513F">
      <w:rPr>
        <w:noProof/>
      </w:rPr>
      <w:t>1</w:t>
    </w:r>
    <w:r w:rsidR="00D651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B9E" w:rsidRPr="00620AC1" w:rsidRDefault="004B176F" w:rsidP="00620AC1">
    <w:pPr>
      <w:pStyle w:val="Footer"/>
      <w:tabs>
        <w:tab w:val="clear" w:pos="4680"/>
        <w:tab w:val="clear" w:pos="9360"/>
        <w:tab w:val="center" w:pos="2995"/>
      </w:tabs>
      <w:spacing w:before="120"/>
    </w:pPr>
    <w:r>
      <w:t>[4430]</w:t>
    </w:r>
    <w:r>
      <w:tab/>
    </w:r>
    <w:r w:rsidR="00762866">
      <w:fldChar w:fldCharType="begin"/>
    </w:r>
    <w:r>
      <w:instrText xml:space="preserve"> PAGE  \* MERGEFORMAT </w:instrText>
    </w:r>
    <w:r w:rsidR="00762866">
      <w:fldChar w:fldCharType="separate"/>
    </w:r>
    <w:r>
      <w:rPr>
        <w:noProof/>
      </w:rPr>
      <w:t>8</w:t>
    </w:r>
    <w:r w:rsidR="007628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516C3"/>
    <w:rsid w:val="000676EF"/>
    <w:rsid w:val="000A008D"/>
    <w:rsid w:val="000B3A39"/>
    <w:rsid w:val="000C142A"/>
    <w:rsid w:val="000E1785"/>
    <w:rsid w:val="000F40FA"/>
    <w:rsid w:val="001049C2"/>
    <w:rsid w:val="0010776B"/>
    <w:rsid w:val="00133E66"/>
    <w:rsid w:val="00136FDF"/>
    <w:rsid w:val="001435A3"/>
    <w:rsid w:val="00176ED0"/>
    <w:rsid w:val="001A4DA3"/>
    <w:rsid w:val="001B2D93"/>
    <w:rsid w:val="001D08F2"/>
    <w:rsid w:val="001D525B"/>
    <w:rsid w:val="001D6A76"/>
    <w:rsid w:val="001D7F4F"/>
    <w:rsid w:val="001E4574"/>
    <w:rsid w:val="00210685"/>
    <w:rsid w:val="002321B6"/>
    <w:rsid w:val="00236F40"/>
    <w:rsid w:val="00250967"/>
    <w:rsid w:val="00253959"/>
    <w:rsid w:val="002543C8"/>
    <w:rsid w:val="00284AAE"/>
    <w:rsid w:val="002929E1"/>
    <w:rsid w:val="002A3383"/>
    <w:rsid w:val="002E5912"/>
    <w:rsid w:val="002E6D7E"/>
    <w:rsid w:val="00322BEC"/>
    <w:rsid w:val="00325348"/>
    <w:rsid w:val="0032732C"/>
    <w:rsid w:val="00336AD0"/>
    <w:rsid w:val="0037079A"/>
    <w:rsid w:val="0038064B"/>
    <w:rsid w:val="003A04B6"/>
    <w:rsid w:val="003D01E8"/>
    <w:rsid w:val="003E5288"/>
    <w:rsid w:val="003F6D79"/>
    <w:rsid w:val="0041760A"/>
    <w:rsid w:val="00417C01"/>
    <w:rsid w:val="004809EE"/>
    <w:rsid w:val="00480FAF"/>
    <w:rsid w:val="0049787B"/>
    <w:rsid w:val="004B176F"/>
    <w:rsid w:val="004E7D54"/>
    <w:rsid w:val="00507B48"/>
    <w:rsid w:val="005273C6"/>
    <w:rsid w:val="00530A69"/>
    <w:rsid w:val="00545593"/>
    <w:rsid w:val="00577C6C"/>
    <w:rsid w:val="005C1CD3"/>
    <w:rsid w:val="005C2FE2"/>
    <w:rsid w:val="005D784E"/>
    <w:rsid w:val="005E2BC9"/>
    <w:rsid w:val="00605102"/>
    <w:rsid w:val="00620AC1"/>
    <w:rsid w:val="006215AA"/>
    <w:rsid w:val="006910FC"/>
    <w:rsid w:val="006913C9"/>
    <w:rsid w:val="0069470D"/>
    <w:rsid w:val="006C4F05"/>
    <w:rsid w:val="00734F00"/>
    <w:rsid w:val="00762866"/>
    <w:rsid w:val="007A70AE"/>
    <w:rsid w:val="007C019C"/>
    <w:rsid w:val="007E5B9E"/>
    <w:rsid w:val="008013EF"/>
    <w:rsid w:val="008362E8"/>
    <w:rsid w:val="008545CC"/>
    <w:rsid w:val="00855114"/>
    <w:rsid w:val="008629EF"/>
    <w:rsid w:val="008A1768"/>
    <w:rsid w:val="008B63DB"/>
    <w:rsid w:val="008D6EA7"/>
    <w:rsid w:val="008F4429"/>
    <w:rsid w:val="0090287B"/>
    <w:rsid w:val="0094021A"/>
    <w:rsid w:val="00951CBE"/>
    <w:rsid w:val="009C6A0B"/>
    <w:rsid w:val="009F0C77"/>
    <w:rsid w:val="009F4DD1"/>
    <w:rsid w:val="00A41684"/>
    <w:rsid w:val="00A61A1D"/>
    <w:rsid w:val="00A64E80"/>
    <w:rsid w:val="00A72BCD"/>
    <w:rsid w:val="00A741D9"/>
    <w:rsid w:val="00A833AB"/>
    <w:rsid w:val="00A9741D"/>
    <w:rsid w:val="00AD27A9"/>
    <w:rsid w:val="00AD4B17"/>
    <w:rsid w:val="00B412D4"/>
    <w:rsid w:val="00BA3071"/>
    <w:rsid w:val="00BB66CB"/>
    <w:rsid w:val="00BE3C22"/>
    <w:rsid w:val="00C0345E"/>
    <w:rsid w:val="00C3483A"/>
    <w:rsid w:val="00C74E9D"/>
    <w:rsid w:val="00C82FD3"/>
    <w:rsid w:val="00C92819"/>
    <w:rsid w:val="00CA0934"/>
    <w:rsid w:val="00CC659C"/>
    <w:rsid w:val="00CC6B7B"/>
    <w:rsid w:val="00CD1388"/>
    <w:rsid w:val="00CD2089"/>
    <w:rsid w:val="00D46DB9"/>
    <w:rsid w:val="00D548A2"/>
    <w:rsid w:val="00D6513F"/>
    <w:rsid w:val="00D73A67"/>
    <w:rsid w:val="00D970A9"/>
    <w:rsid w:val="00DB31F0"/>
    <w:rsid w:val="00DF3845"/>
    <w:rsid w:val="00DF3F85"/>
    <w:rsid w:val="00E41911"/>
    <w:rsid w:val="00E63A24"/>
    <w:rsid w:val="00E92EEF"/>
    <w:rsid w:val="00E96907"/>
    <w:rsid w:val="00EA2608"/>
    <w:rsid w:val="00EC1558"/>
    <w:rsid w:val="00EE253F"/>
    <w:rsid w:val="00F00F15"/>
    <w:rsid w:val="00F24442"/>
    <w:rsid w:val="00F440BA"/>
    <w:rsid w:val="00F50AE3"/>
    <w:rsid w:val="00F67CF1"/>
    <w:rsid w:val="00F81BDF"/>
    <w:rsid w:val="00F840F0"/>
    <w:rsid w:val="00FB0D0D"/>
    <w:rsid w:val="00FB43B4"/>
    <w:rsid w:val="00FD75D6"/>
    <w:rsid w:val="00FE4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888E64-B812-4EB0-9244-ACD95725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480FAF"/>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 w:type="character" w:styleId="Hyperlink">
    <w:name w:val="Hyperlink"/>
    <w:basedOn w:val="DefaultParagraphFont"/>
    <w:uiPriority w:val="99"/>
    <w:unhideWhenUsed/>
    <w:rsid w:val="002E6D7E"/>
    <w:rPr>
      <w:color w:val="0000FF" w:themeColor="hyperlink"/>
      <w:u w:val="single"/>
    </w:rPr>
  </w:style>
  <w:style w:type="paragraph" w:styleId="BodyText2">
    <w:name w:val="Body Text 2"/>
    <w:basedOn w:val="Normal"/>
    <w:link w:val="BodyText2Char"/>
    <w:semiHidden/>
    <w:rsid w:val="005D784E"/>
  </w:style>
  <w:style w:type="character" w:customStyle="1" w:styleId="BodyText2Char">
    <w:name w:val="Body Text 2 Char"/>
    <w:basedOn w:val="DefaultParagraphFont"/>
    <w:link w:val="BodyText2"/>
    <w:semiHidden/>
    <w:rsid w:val="005D784E"/>
    <w:rPr>
      <w:rFonts w:eastAsia="Times New Roman" w:cs="Times New Roman"/>
      <w:szCs w:val="20"/>
    </w:rPr>
  </w:style>
  <w:style w:type="character" w:customStyle="1" w:styleId="Heading2Char">
    <w:name w:val="Heading 2 Char"/>
    <w:basedOn w:val="DefaultParagraphFont"/>
    <w:link w:val="Heading2"/>
    <w:rsid w:val="00480FAF"/>
    <w:rPr>
      <w:rFonts w:ascii="Arial" w:eastAsia="Times New Roman" w:hAnsi="Arial" w:cs="Times New Roman"/>
      <w:b/>
      <w:snapToGrid w:val="0"/>
      <w:sz w:val="24"/>
      <w:szCs w:val="20"/>
    </w:rPr>
  </w:style>
  <w:style w:type="paragraph" w:styleId="BodyText">
    <w:name w:val="Body Text"/>
    <w:basedOn w:val="Normal"/>
    <w:link w:val="BodyTextChar"/>
    <w:rsid w:val="00480FAF"/>
    <w:pPr>
      <w:widowControl w:val="0"/>
    </w:pPr>
    <w:rPr>
      <w:rFonts w:ascii="Arial" w:hAnsi="Arial"/>
      <w:snapToGrid w:val="0"/>
      <w:sz w:val="24"/>
    </w:rPr>
  </w:style>
  <w:style w:type="character" w:customStyle="1" w:styleId="BodyTextChar">
    <w:name w:val="Body Text Char"/>
    <w:basedOn w:val="DefaultParagraphFont"/>
    <w:link w:val="BodyText"/>
    <w:rsid w:val="00480FAF"/>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13" Type="http://schemas.openxmlformats.org/officeDocument/2006/relationships/hyperlink" Target="file:///h:\HJ%20Archive\2010\04-23-10.docx" TargetMode="External"/><Relationship Id="rId18" Type="http://schemas.openxmlformats.org/officeDocument/2006/relationships/hyperlink" Target="file:///h:\SJ%20Archive\2010\06-02-10.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09-10\4430_20100415.docx" TargetMode="External"/><Relationship Id="rId7" Type="http://schemas.openxmlformats.org/officeDocument/2006/relationships/hyperlink" Target="file:///h:\HJ%20Archive\2010\01-27-10.docx" TargetMode="External"/><Relationship Id="rId12" Type="http://schemas.openxmlformats.org/officeDocument/2006/relationships/hyperlink" Target="file:///h:\HJ%20Archive\2010\04-22-10.docx" TargetMode="External"/><Relationship Id="rId17" Type="http://schemas.openxmlformats.org/officeDocument/2006/relationships/hyperlink" Target="file:///h:\SJ%20Archive\2010\05-26-10.docx" TargetMode="External"/><Relationship Id="rId25" Type="http://schemas.openxmlformats.org/officeDocument/2006/relationships/hyperlink" Target="file:///p:\pprever\2009-10\4430_20100602.docx" TargetMode="External"/><Relationship Id="rId2" Type="http://schemas.openxmlformats.org/officeDocument/2006/relationships/styles" Target="styles.xml"/><Relationship Id="rId16" Type="http://schemas.openxmlformats.org/officeDocument/2006/relationships/hyperlink" Target="file:///h:\SJ%20Archive\2010\05-19-10.docx" TargetMode="External"/><Relationship Id="rId20" Type="http://schemas.openxmlformats.org/officeDocument/2006/relationships/hyperlink" Target="file:///p:\pprever\2009-10\4430_20100127.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24" Type="http://schemas.openxmlformats.org/officeDocument/2006/relationships/hyperlink" Target="file:///p:\pprever\2009-10\4430_20100526.docx" TargetMode="External"/><Relationship Id="rId5" Type="http://schemas.openxmlformats.org/officeDocument/2006/relationships/footnotes" Target="footnotes.xml"/><Relationship Id="rId15" Type="http://schemas.openxmlformats.org/officeDocument/2006/relationships/hyperlink" Target="file:///h:\SJ%20Archive\2010\04-27-10.docx" TargetMode="External"/><Relationship Id="rId23" Type="http://schemas.openxmlformats.org/officeDocument/2006/relationships/hyperlink" Target="file:///p:\pprever\2009-10\4430_20100519.docx" TargetMode="External"/><Relationship Id="rId28" Type="http://schemas.openxmlformats.org/officeDocument/2006/relationships/fontTable" Target="fontTable.xml"/><Relationship Id="rId10" Type="http://schemas.openxmlformats.org/officeDocument/2006/relationships/hyperlink" Target="file:///h:\HJ%20Archive\2010\04-22-10.docx" TargetMode="External"/><Relationship Id="rId19" Type="http://schemas.openxmlformats.org/officeDocument/2006/relationships/hyperlink" Target="file:///h:\SJ%20Archive\2010\06-02-1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SJ%20Archive\2010\04-27-10.docx" TargetMode="External"/><Relationship Id="rId22" Type="http://schemas.openxmlformats.org/officeDocument/2006/relationships/hyperlink" Target="file:///p:\pprever\2009-10\4430_20100422.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9A779-44D1-4CB9-A6FA-B43690B3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2674</Words>
  <Characters>13713</Characters>
  <Application>Microsoft Office Word</Application>
  <DocSecurity>0</DocSecurity>
  <Lines>362</Lines>
  <Paragraphs>91</Paragraphs>
  <ScaleCrop>false</ScaleCrop>
  <Company> </Company>
  <LinksUpToDate>false</LinksUpToDate>
  <CharactersWithSpaces>16409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4430: Municipal ad valorem taxes - South Carolina Legislature Online</dc:title>
  <dc:subject/>
  <dc:creator>NikiDowney</dc:creator>
  <cp:keywords/>
  <dc:description/>
  <cp:lastModifiedBy>N Cumfer</cp:lastModifiedBy>
  <cp:revision>6</cp:revision>
  <cp:lastPrinted>2009-12-22T16:37:00Z</cp:lastPrinted>
  <dcterms:created xsi:type="dcterms:W3CDTF">2010-06-02T22:59:00Z</dcterms:created>
  <dcterms:modified xsi:type="dcterms:W3CDTF">2014-11-24T16:23:00Z</dcterms:modified>
</cp:coreProperties>
</file>