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23B" w:rsidRDefault="001A236F">
      <w:pPr>
        <w:widowControl w:val="0"/>
        <w:jc w:val="center"/>
      </w:pPr>
      <w:bookmarkStart w:id="0" w:name="_GoBack"/>
      <w:bookmarkEnd w:id="0"/>
      <w:r>
        <w:rPr>
          <w:b/>
        </w:rPr>
        <w:t>South Carolina General Assembly</w:t>
      </w:r>
    </w:p>
    <w:p w:rsidR="0092723B" w:rsidRDefault="001A236F">
      <w:pPr>
        <w:widowControl w:val="0"/>
        <w:jc w:val="center"/>
      </w:pPr>
      <w:r>
        <w:t>118th Session, 2009-2010</w:t>
      </w:r>
    </w:p>
    <w:p w:rsidR="0092723B" w:rsidRDefault="0092723B">
      <w:pPr>
        <w:widowControl w:val="0"/>
        <w:jc w:val="left"/>
      </w:pPr>
    </w:p>
    <w:p w:rsidR="0092723B" w:rsidRDefault="001A236F">
      <w:pPr>
        <w:widowControl w:val="0"/>
        <w:jc w:val="left"/>
        <w:rPr>
          <w:b/>
        </w:rPr>
      </w:pPr>
      <w:r>
        <w:rPr>
          <w:b/>
        </w:rPr>
        <w:t>S. 455</w:t>
      </w:r>
    </w:p>
    <w:p w:rsidR="0092723B" w:rsidRDefault="0092723B">
      <w:pPr>
        <w:widowControl w:val="0"/>
        <w:jc w:val="left"/>
        <w:rPr>
          <w:b/>
        </w:rPr>
      </w:pPr>
    </w:p>
    <w:p w:rsidR="0092723B" w:rsidRDefault="001A236F">
      <w:pPr>
        <w:widowControl w:val="0"/>
        <w:jc w:val="left"/>
      </w:pPr>
      <w:r>
        <w:rPr>
          <w:b/>
        </w:rPr>
        <w:t>STATUS INFORMATION</w:t>
      </w:r>
    </w:p>
    <w:p w:rsidR="0092723B" w:rsidRDefault="0092723B">
      <w:pPr>
        <w:widowControl w:val="0"/>
        <w:jc w:val="left"/>
      </w:pPr>
    </w:p>
    <w:p w:rsidR="0092723B" w:rsidRDefault="001A236F">
      <w:pPr>
        <w:widowControl w:val="0"/>
        <w:jc w:val="left"/>
      </w:pPr>
      <w:r>
        <w:t>General Bill</w:t>
      </w:r>
    </w:p>
    <w:p w:rsidR="0092723B" w:rsidRDefault="001A236F">
      <w:pPr>
        <w:widowControl w:val="0"/>
        <w:jc w:val="left"/>
      </w:pPr>
      <w:r>
        <w:t>Sponsors: Senators Thomas, Rose, Knotts and Ford</w:t>
      </w:r>
    </w:p>
    <w:p w:rsidR="0092723B" w:rsidRDefault="001A236F">
      <w:pPr>
        <w:widowControl w:val="0"/>
        <w:jc w:val="left"/>
      </w:pPr>
      <w:r>
        <w:t>Document Path: l:\council\bills\dka\3186dw09.docx</w:t>
      </w:r>
    </w:p>
    <w:p w:rsidR="0092723B" w:rsidRDefault="001A236F">
      <w:pPr>
        <w:widowControl w:val="0"/>
        <w:jc w:val="left"/>
      </w:pPr>
      <w:r>
        <w:t>Companion/Similar bill(s): 201, 3875</w:t>
      </w:r>
    </w:p>
    <w:p w:rsidR="0092723B" w:rsidRDefault="0092723B">
      <w:pPr>
        <w:widowControl w:val="0"/>
        <w:jc w:val="left"/>
      </w:pPr>
    </w:p>
    <w:p w:rsidR="0092723B" w:rsidRDefault="001A236F">
      <w:pPr>
        <w:widowControl w:val="0"/>
        <w:jc w:val="left"/>
      </w:pPr>
      <w:r>
        <w:t>Introduced in the Senate on February 19, 2009</w:t>
      </w:r>
    </w:p>
    <w:p w:rsidR="0092723B" w:rsidRDefault="001A236F">
      <w:pPr>
        <w:widowControl w:val="0"/>
        <w:jc w:val="left"/>
      </w:pPr>
      <w:r>
        <w:t>Introduced in the House on April 30, 2009</w:t>
      </w:r>
    </w:p>
    <w:p w:rsidR="0092723B" w:rsidRDefault="001A236F">
      <w:pPr>
        <w:widowControl w:val="0"/>
        <w:jc w:val="left"/>
      </w:pPr>
      <w:r>
        <w:t xml:space="preserve">Currently residing in the House Committee on </w:t>
      </w:r>
      <w:r>
        <w:rPr>
          <w:b/>
        </w:rPr>
        <w:t>Labor, Commerce and Industry</w:t>
      </w:r>
    </w:p>
    <w:p w:rsidR="0092723B" w:rsidRDefault="0092723B">
      <w:pPr>
        <w:widowControl w:val="0"/>
        <w:jc w:val="left"/>
      </w:pPr>
    </w:p>
    <w:p w:rsidR="0092723B" w:rsidRDefault="001A236F">
      <w:pPr>
        <w:widowControl w:val="0"/>
        <w:jc w:val="left"/>
      </w:pPr>
      <w:r>
        <w:t>Summary: Healthnet Program Act</w:t>
      </w:r>
    </w:p>
    <w:p w:rsidR="0092723B" w:rsidRDefault="0092723B">
      <w:pPr>
        <w:widowControl w:val="0"/>
        <w:jc w:val="left"/>
      </w:pPr>
    </w:p>
    <w:p w:rsidR="0092723B" w:rsidRDefault="0092723B">
      <w:pPr>
        <w:widowControl w:val="0"/>
        <w:jc w:val="left"/>
      </w:pPr>
    </w:p>
    <w:p w:rsidR="0092723B" w:rsidRDefault="001A236F">
      <w:pPr>
        <w:widowControl w:val="0"/>
        <w:tabs>
          <w:tab w:val="center" w:pos="590"/>
          <w:tab w:val="center" w:pos="1440"/>
          <w:tab w:val="left" w:pos="1872"/>
          <w:tab w:val="left" w:pos="9187"/>
        </w:tabs>
        <w:jc w:val="left"/>
      </w:pPr>
      <w:r>
        <w:rPr>
          <w:b/>
        </w:rPr>
        <w:t>HISTORY OF LEGISLATIVE ACTIONS</w:t>
      </w:r>
    </w:p>
    <w:p w:rsidR="0092723B" w:rsidRDefault="0092723B">
      <w:pPr>
        <w:widowControl w:val="0"/>
        <w:tabs>
          <w:tab w:val="center" w:pos="590"/>
          <w:tab w:val="center" w:pos="1440"/>
          <w:tab w:val="left" w:pos="1872"/>
          <w:tab w:val="left" w:pos="9187"/>
        </w:tabs>
        <w:jc w:val="left"/>
      </w:pPr>
    </w:p>
    <w:p w:rsidR="0092723B" w:rsidRDefault="001A236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2723B" w:rsidRDefault="001A236F">
      <w:pPr>
        <w:widowControl w:val="0"/>
        <w:tabs>
          <w:tab w:val="right" w:pos="1008"/>
          <w:tab w:val="left" w:pos="1152"/>
          <w:tab w:val="left" w:pos="1872"/>
          <w:tab w:val="left" w:pos="9187"/>
        </w:tabs>
        <w:ind w:left="2088" w:hanging="2088"/>
        <w:jc w:val="left"/>
      </w:pPr>
      <w:r>
        <w:tab/>
        <w:t>2/19/2009</w:t>
      </w:r>
      <w:r>
        <w:tab/>
        <w:t>Senate</w:t>
      </w:r>
      <w:r>
        <w:tab/>
        <w:t xml:space="preserve">Introduced and read first time </w:t>
      </w:r>
      <w:hyperlink r:id="rId7" w:history="1">
        <w:r w:rsidRPr="00FC550A">
          <w:rPr>
            <w:rStyle w:val="Hyperlink"/>
          </w:rPr>
          <w:t>SJ</w:t>
        </w:r>
      </w:hyperlink>
      <w:r>
        <w:noBreakHyphen/>
        <w:t>6</w:t>
      </w:r>
    </w:p>
    <w:p w:rsidR="0092723B" w:rsidRDefault="001A236F">
      <w:pPr>
        <w:widowControl w:val="0"/>
        <w:tabs>
          <w:tab w:val="right" w:pos="1008"/>
          <w:tab w:val="left" w:pos="1152"/>
          <w:tab w:val="left" w:pos="1872"/>
          <w:tab w:val="left" w:pos="9187"/>
        </w:tabs>
        <w:ind w:left="2088" w:hanging="2088"/>
        <w:jc w:val="left"/>
      </w:pPr>
      <w:r>
        <w:tab/>
        <w:t>2/19/2009</w:t>
      </w:r>
      <w:r>
        <w:tab/>
        <w:t>Senate</w:t>
      </w:r>
      <w:r>
        <w:tab/>
        <w:t xml:space="preserve">Referred to Committee on </w:t>
      </w:r>
      <w:r>
        <w:rPr>
          <w:b/>
        </w:rPr>
        <w:t>Banking and Insurance</w:t>
      </w:r>
      <w:r>
        <w:t xml:space="preserve"> </w:t>
      </w:r>
      <w:hyperlink r:id="rId8" w:history="1">
        <w:r w:rsidRPr="00FC550A">
          <w:rPr>
            <w:rStyle w:val="Hyperlink"/>
          </w:rPr>
          <w:t>SJ</w:t>
        </w:r>
      </w:hyperlink>
      <w:r>
        <w:noBreakHyphen/>
        <w:t>6</w:t>
      </w:r>
    </w:p>
    <w:p w:rsidR="0092723B" w:rsidRDefault="001A236F">
      <w:pPr>
        <w:widowControl w:val="0"/>
        <w:tabs>
          <w:tab w:val="right" w:pos="1008"/>
          <w:tab w:val="left" w:pos="1152"/>
          <w:tab w:val="left" w:pos="1872"/>
          <w:tab w:val="left" w:pos="9187"/>
        </w:tabs>
        <w:ind w:left="2088" w:hanging="2088"/>
        <w:jc w:val="left"/>
      </w:pPr>
      <w:r>
        <w:tab/>
        <w:t>4/28/2009</w:t>
      </w:r>
      <w:r>
        <w:tab/>
        <w:t>Senate</w:t>
      </w:r>
      <w:r>
        <w:tab/>
        <w:t xml:space="preserve">Committee report: Favorable with amendment </w:t>
      </w:r>
      <w:r>
        <w:rPr>
          <w:b/>
        </w:rPr>
        <w:t>Banking and Insurance</w:t>
      </w:r>
      <w:r>
        <w:t xml:space="preserve"> </w:t>
      </w:r>
      <w:hyperlink r:id="rId9" w:history="1">
        <w:r w:rsidRPr="00FC550A">
          <w:rPr>
            <w:rStyle w:val="Hyperlink"/>
          </w:rPr>
          <w:t>SJ</w:t>
        </w:r>
      </w:hyperlink>
      <w:r>
        <w:noBreakHyphen/>
        <w:t>15</w:t>
      </w:r>
    </w:p>
    <w:p w:rsidR="0092723B" w:rsidRDefault="001A236F">
      <w:pPr>
        <w:widowControl w:val="0"/>
        <w:tabs>
          <w:tab w:val="right" w:pos="1008"/>
          <w:tab w:val="left" w:pos="1152"/>
          <w:tab w:val="left" w:pos="1872"/>
          <w:tab w:val="left" w:pos="9187"/>
        </w:tabs>
        <w:ind w:left="2088" w:hanging="2088"/>
        <w:jc w:val="left"/>
      </w:pPr>
      <w:r>
        <w:tab/>
        <w:t>4/29/2009</w:t>
      </w:r>
      <w:r>
        <w:tab/>
        <w:t>Senate</w:t>
      </w:r>
      <w:r>
        <w:tab/>
        <w:t xml:space="preserve">Committee Amendment Adopted </w:t>
      </w:r>
      <w:hyperlink r:id="rId10" w:history="1">
        <w:r w:rsidRPr="00FC550A">
          <w:rPr>
            <w:rStyle w:val="Hyperlink"/>
          </w:rPr>
          <w:t>SJ</w:t>
        </w:r>
      </w:hyperlink>
      <w:r>
        <w:noBreakHyphen/>
        <w:t>17</w:t>
      </w:r>
    </w:p>
    <w:p w:rsidR="0092723B" w:rsidRDefault="001A236F">
      <w:pPr>
        <w:widowControl w:val="0"/>
        <w:tabs>
          <w:tab w:val="right" w:pos="1008"/>
          <w:tab w:val="left" w:pos="1152"/>
          <w:tab w:val="left" w:pos="1872"/>
          <w:tab w:val="left" w:pos="9187"/>
        </w:tabs>
        <w:ind w:left="2088" w:hanging="2088"/>
        <w:jc w:val="left"/>
      </w:pPr>
      <w:r>
        <w:tab/>
        <w:t>4/29/2009</w:t>
      </w:r>
      <w:r>
        <w:tab/>
        <w:t>Senate</w:t>
      </w:r>
      <w:r>
        <w:tab/>
        <w:t xml:space="preserve">Read second time </w:t>
      </w:r>
      <w:hyperlink r:id="rId11" w:history="1">
        <w:r w:rsidRPr="00FC550A">
          <w:rPr>
            <w:rStyle w:val="Hyperlink"/>
          </w:rPr>
          <w:t>SJ</w:t>
        </w:r>
      </w:hyperlink>
      <w:r>
        <w:noBreakHyphen/>
        <w:t>17</w:t>
      </w:r>
    </w:p>
    <w:p w:rsidR="0092723B" w:rsidRDefault="001A236F">
      <w:pPr>
        <w:widowControl w:val="0"/>
        <w:tabs>
          <w:tab w:val="right" w:pos="1008"/>
          <w:tab w:val="left" w:pos="1152"/>
          <w:tab w:val="left" w:pos="1872"/>
          <w:tab w:val="left" w:pos="9187"/>
        </w:tabs>
        <w:ind w:left="2088" w:hanging="2088"/>
        <w:jc w:val="left"/>
      </w:pPr>
      <w:r>
        <w:tab/>
        <w:t>4/30/2009</w:t>
      </w:r>
      <w:r>
        <w:tab/>
        <w:t>Senate</w:t>
      </w:r>
      <w:r>
        <w:tab/>
        <w:t xml:space="preserve">Read third time and sent to House </w:t>
      </w:r>
      <w:hyperlink r:id="rId12" w:history="1">
        <w:r w:rsidRPr="00FC550A">
          <w:rPr>
            <w:rStyle w:val="Hyperlink"/>
          </w:rPr>
          <w:t>SJ</w:t>
        </w:r>
      </w:hyperlink>
      <w:r>
        <w:noBreakHyphen/>
        <w:t>28</w:t>
      </w:r>
    </w:p>
    <w:p w:rsidR="0092723B" w:rsidRDefault="001A236F">
      <w:pPr>
        <w:widowControl w:val="0"/>
        <w:tabs>
          <w:tab w:val="right" w:pos="1008"/>
          <w:tab w:val="left" w:pos="1152"/>
          <w:tab w:val="left" w:pos="1872"/>
          <w:tab w:val="left" w:pos="9187"/>
        </w:tabs>
        <w:ind w:left="2088" w:hanging="2088"/>
        <w:jc w:val="left"/>
      </w:pPr>
      <w:r>
        <w:tab/>
        <w:t>4/30/2009</w:t>
      </w:r>
      <w:r>
        <w:tab/>
        <w:t>House</w:t>
      </w:r>
      <w:r>
        <w:tab/>
        <w:t xml:space="preserve">Introduced and read first time </w:t>
      </w:r>
      <w:hyperlink r:id="rId13" w:history="1">
        <w:r w:rsidRPr="00FC550A">
          <w:rPr>
            <w:rStyle w:val="Hyperlink"/>
          </w:rPr>
          <w:t>HJ</w:t>
        </w:r>
      </w:hyperlink>
      <w:r>
        <w:noBreakHyphen/>
        <w:t>157</w:t>
      </w:r>
    </w:p>
    <w:p w:rsidR="0092723B" w:rsidRDefault="001A236F">
      <w:pPr>
        <w:widowControl w:val="0"/>
        <w:tabs>
          <w:tab w:val="right" w:pos="1008"/>
          <w:tab w:val="left" w:pos="1152"/>
          <w:tab w:val="left" w:pos="1872"/>
          <w:tab w:val="left" w:pos="9187"/>
        </w:tabs>
        <w:ind w:left="2088" w:hanging="2088"/>
        <w:jc w:val="left"/>
      </w:pPr>
      <w:r>
        <w:tab/>
        <w:t>4/30/2009</w:t>
      </w:r>
      <w:r>
        <w:tab/>
        <w:t>House</w:t>
      </w:r>
      <w:r>
        <w:tab/>
        <w:t xml:space="preserve">Referred to Committee on </w:t>
      </w:r>
      <w:r>
        <w:rPr>
          <w:b/>
        </w:rPr>
        <w:t>Labor, Commerce and Industry</w:t>
      </w:r>
      <w:r>
        <w:t xml:space="preserve"> </w:t>
      </w:r>
      <w:hyperlink r:id="rId14" w:history="1">
        <w:r w:rsidRPr="00FC550A">
          <w:rPr>
            <w:rStyle w:val="Hyperlink"/>
          </w:rPr>
          <w:t>HJ</w:t>
        </w:r>
      </w:hyperlink>
      <w:r>
        <w:noBreakHyphen/>
        <w:t>157</w:t>
      </w:r>
    </w:p>
    <w:p w:rsidR="0092723B" w:rsidRDefault="0092723B">
      <w:pPr>
        <w:widowControl w:val="0"/>
        <w:tabs>
          <w:tab w:val="right" w:pos="1008"/>
          <w:tab w:val="left" w:pos="1152"/>
          <w:tab w:val="left" w:pos="1872"/>
          <w:tab w:val="left" w:pos="9187"/>
        </w:tabs>
        <w:ind w:left="2088" w:hanging="2088"/>
        <w:jc w:val="left"/>
      </w:pPr>
    </w:p>
    <w:p w:rsidR="0092723B" w:rsidRDefault="0092723B">
      <w:pPr>
        <w:widowControl w:val="0"/>
        <w:tabs>
          <w:tab w:val="right" w:pos="1008"/>
          <w:tab w:val="left" w:pos="1152"/>
          <w:tab w:val="left" w:pos="1872"/>
          <w:tab w:val="left" w:pos="9187"/>
        </w:tabs>
        <w:ind w:left="2088" w:hanging="2088"/>
        <w:jc w:val="left"/>
      </w:pPr>
    </w:p>
    <w:p w:rsidR="0092723B" w:rsidRDefault="001A236F">
      <w:pPr>
        <w:widowControl w:val="0"/>
        <w:jc w:val="left"/>
      </w:pPr>
      <w:r>
        <w:rPr>
          <w:b/>
        </w:rPr>
        <w:t>VERSIONS OF THIS BILL</w:t>
      </w:r>
    </w:p>
    <w:p w:rsidR="0092723B" w:rsidRDefault="0092723B">
      <w:pPr>
        <w:widowControl w:val="0"/>
        <w:jc w:val="left"/>
      </w:pPr>
    </w:p>
    <w:p w:rsidR="0092723B" w:rsidRDefault="0026245A">
      <w:pPr>
        <w:widowControl w:val="0"/>
        <w:jc w:val="left"/>
      </w:pPr>
      <w:hyperlink r:id="rId15" w:history="1">
        <w:r w:rsidR="001A236F">
          <w:rPr>
            <w:rStyle w:val="Hyperlink"/>
          </w:rPr>
          <w:t>2/19/2009</w:t>
        </w:r>
      </w:hyperlink>
    </w:p>
    <w:p w:rsidR="0092723B" w:rsidRDefault="0026245A">
      <w:hyperlink r:id="rId16" w:history="1">
        <w:r w:rsidR="001A236F">
          <w:rPr>
            <w:rStyle w:val="Hyperlink"/>
          </w:rPr>
          <w:t>4/28/2009</w:t>
        </w:r>
      </w:hyperlink>
    </w:p>
    <w:p w:rsidR="0092723B" w:rsidRDefault="0026245A">
      <w:hyperlink r:id="rId17" w:history="1">
        <w:r w:rsidR="001A236F">
          <w:rPr>
            <w:rStyle w:val="Hyperlink"/>
          </w:rPr>
          <w:t>4/29/2009</w:t>
        </w:r>
      </w:hyperlink>
    </w:p>
    <w:p w:rsidR="0092723B" w:rsidRDefault="0092723B"/>
    <w:p w:rsidR="0092723B" w:rsidRDefault="0092723B">
      <w:pPr>
        <w:sectPr w:rsidR="0092723B">
          <w:pgSz w:w="12240" w:h="15840" w:code="1"/>
          <w:pgMar w:top="1080" w:right="1440" w:bottom="1080" w:left="1440" w:header="720" w:footer="720" w:gutter="0"/>
          <w:cols w:space="720"/>
          <w:noEndnote/>
          <w:docGrid w:linePitch="360"/>
        </w:sectPr>
      </w:pPr>
    </w:p>
    <w:p w:rsidR="0092723B" w:rsidRDefault="001A236F">
      <w:pPr>
        <w:pStyle w:val="BillDots"/>
      </w:pPr>
      <w:r>
        <w:lastRenderedPageBreak/>
        <w:t>COMMITTEE AMENDMENT ADOPTED</w:t>
      </w:r>
    </w:p>
    <w:p w:rsidR="0092723B" w:rsidRDefault="001A236F">
      <w:pPr>
        <w:pStyle w:val="BillDots"/>
      </w:pPr>
      <w:r>
        <w:t>April 29, 2009</w:t>
      </w:r>
    </w:p>
    <w:p w:rsidR="0092723B" w:rsidRDefault="0092723B">
      <w:pPr>
        <w:pStyle w:val="BillDots"/>
      </w:pPr>
    </w:p>
    <w:p w:rsidR="0092723B" w:rsidRDefault="001A236F">
      <w:pPr>
        <w:pStyle w:val="BillDots"/>
        <w:tabs>
          <w:tab w:val="clear" w:pos="216"/>
          <w:tab w:val="clear" w:pos="432"/>
          <w:tab w:val="clear" w:pos="648"/>
          <w:tab w:val="clear" w:pos="864"/>
          <w:tab w:val="clear" w:pos="1080"/>
          <w:tab w:val="clear" w:pos="1296"/>
          <w:tab w:val="clear" w:pos="5904"/>
          <w:tab w:val="right" w:pos="5933"/>
        </w:tabs>
      </w:pPr>
      <w:r>
        <w:tab/>
      </w:r>
      <w:r>
        <w:rPr>
          <w:b/>
          <w:sz w:val="36"/>
        </w:rPr>
        <w:t>S. 455</w:t>
      </w:r>
    </w:p>
    <w:p w:rsidR="0092723B" w:rsidRDefault="0092723B">
      <w:pPr>
        <w:pStyle w:val="BillDots"/>
      </w:pPr>
    </w:p>
    <w:p w:rsidR="0092723B" w:rsidRDefault="001A236F">
      <w:pPr>
        <w:pStyle w:val="BillDots"/>
        <w:jc w:val="center"/>
      </w:pPr>
      <w:r>
        <w:t>Introduced by Senators Thomas and Rose</w:t>
      </w:r>
    </w:p>
    <w:p w:rsidR="0092723B" w:rsidRDefault="0092723B">
      <w:pPr>
        <w:pStyle w:val="BillDots"/>
      </w:pPr>
    </w:p>
    <w:p w:rsidR="0092723B" w:rsidRDefault="001A236F">
      <w:pPr>
        <w:pStyle w:val="BillDots"/>
      </w:pPr>
      <w:r>
        <w:t>S. Printed 4/29/09--S.</w:t>
      </w:r>
    </w:p>
    <w:p w:rsidR="0092723B" w:rsidRDefault="001A236F">
      <w:pPr>
        <w:pStyle w:val="BillDots"/>
      </w:pPr>
      <w:r>
        <w:t>Read the first time February 19, 2009.</w:t>
      </w:r>
    </w:p>
    <w:p w:rsidR="0092723B" w:rsidRDefault="001A236F">
      <w:pPr>
        <w:pStyle w:val="BillDots"/>
        <w:jc w:val="center"/>
      </w:pPr>
      <w:r>
        <w:rPr>
          <w:u w:val="single"/>
        </w:rPr>
        <w:t>            </w:t>
      </w:r>
    </w:p>
    <w:p w:rsidR="0092723B" w:rsidRDefault="0092723B">
      <w:pPr>
        <w:pStyle w:val="BillDots"/>
        <w:rPr>
          <w:u w:val="single"/>
        </w:rPr>
        <w:sectPr w:rsidR="0092723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2723B" w:rsidRDefault="0092723B">
      <w:pPr>
        <w:pStyle w:val="BillDot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AMEND THE CODE OF LAWS OF SOUTH CAROLINA, 1976, BY ADDING CHAPTER 60 TO TITLE 38 SO AS TO ENACT THE “SOUTH CAROLINA HEALTHNET PROGRAM”; TO PROVIDE FOR THE CREATION OF A FIVE</w:t>
      </w:r>
      <w:r>
        <w:rPr>
          <w:szCs w:val="22"/>
        </w:rPr>
        <w:noBreakHyphen/>
        <w:t>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IMPLEMENTATION OF THE PROGRAM; AND TO AUTHORIZE THE DIRECTOR OF THE STATE DEPARTMENT OF INSURANCE TO PROMULGATE REGULATIONS TO IMPLEMENT THE PROVISIONS OF CHAPTER 60, TITLE 38 ADDED BY THIS ACT.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 xml:space="preserve">promote the availability of health insurance coverage to employees of small employers, health group cooperatives, and sole proprietors;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‘Board’ means the board of directors of the South Carolina HealthNet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(3)</w:t>
      </w:r>
      <w:r>
        <w:rPr>
          <w:szCs w:val="22"/>
        </w:rPr>
        <w:tab/>
        <w:t>‘Dependent’ is as defined in Section 38</w:t>
      </w:r>
      <w:r>
        <w:rPr>
          <w:szCs w:val="22"/>
        </w:rPr>
        <w:noBreakHyphen/>
        <w:t>71</w:t>
      </w:r>
      <w:r>
        <w:rPr>
          <w:szCs w:val="22"/>
        </w:rPr>
        <w:noBreakHyphen/>
        <w:t xml:space="preserve">1330(5).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(4)</w:t>
      </w:r>
      <w:r>
        <w:rPr>
          <w:szCs w:val="22"/>
        </w:rPr>
        <w:tab/>
        <w:t>‘Director or his designee’ is as defined in Section 38</w:t>
      </w:r>
      <w:r>
        <w:rPr>
          <w:szCs w:val="22"/>
        </w:rPr>
        <w:noBreakHyphen/>
        <w:t>1</w:t>
      </w:r>
      <w:r>
        <w:rPr>
          <w:szCs w:val="22"/>
        </w:rPr>
        <w:noBreakHyphen/>
        <w:t>20(15) and (16).</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(5)</w:t>
      </w:r>
      <w:r>
        <w:rPr>
          <w:szCs w:val="22"/>
        </w:rPr>
        <w:tab/>
        <w:t>‘Eligible employee’ is as defined in Section 38</w:t>
      </w:r>
      <w:r>
        <w:rPr>
          <w:szCs w:val="22"/>
        </w:rPr>
        <w:noBreakHyphen/>
        <w:t>71</w:t>
      </w:r>
      <w:r>
        <w:rPr>
          <w:szCs w:val="22"/>
        </w:rPr>
        <w:noBreakHyphen/>
        <w:t xml:space="preserve">1330(6).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(6)</w:t>
      </w:r>
      <w:r>
        <w:rPr>
          <w:szCs w:val="22"/>
        </w:rPr>
        <w:tab/>
        <w:t xml:space="preserve">‘Health group cooperative’ means a private purchasing cooperative composed of small employers formed pursuant to Article 13, Chapter 71, Title 38.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(7)</w:t>
      </w:r>
      <w:r>
        <w:rPr>
          <w:szCs w:val="22"/>
        </w:rPr>
        <w:tab/>
        <w:t>‘Health insurance coverage’ is as defined in Section 38</w:t>
      </w:r>
      <w:r>
        <w:rPr>
          <w:szCs w:val="22"/>
        </w:rPr>
        <w:noBreakHyphen/>
        <w:t>71</w:t>
      </w:r>
      <w:r>
        <w:rPr>
          <w:szCs w:val="22"/>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(9)</w:t>
      </w:r>
      <w:r>
        <w:rPr>
          <w:szCs w:val="22"/>
        </w:rPr>
        <w:tab/>
        <w:t xml:space="preserve">‘Plan of operation’ means the plan of operation for the program established pursuant to this chapter and includes the initial South Carolina HealthNet plan approved by the director or his designee.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fifteen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two representatives from the hospital community from a list of nominees submitted by the South Carolina Hospital Association. One must be appointed for a two</w:t>
      </w:r>
      <w:r>
        <w:rPr>
          <w:szCs w:val="22"/>
        </w:rPr>
        <w:noBreakHyphen/>
        <w:t>year term and the other for a three</w:t>
      </w:r>
      <w:r>
        <w:rPr>
          <w:szCs w:val="22"/>
        </w:rPr>
        <w:noBreakHyphen/>
        <w:t xml:space="preserve">year term. Subsequent terms are for three years;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consumer representatives are appointed to a two</w:t>
      </w:r>
      <w:r>
        <w:rPr>
          <w:szCs w:val="22"/>
        </w:rPr>
        <w:noBreakHyphen/>
        <w:t xml:space="preserve">year term. Subsequent terms are for three years.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establish procedures for filling vacancies on the board of directors;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develop and implement a public awareness program to promote the existence of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establish procedures for the board review of South Carolina HealthNet plans;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 and plan design of South Carolina HealthNet plans;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(8)</w:t>
      </w:r>
      <w:r>
        <w:rPr>
          <w:rFonts w:eastAsia="MS Mincho"/>
          <w:szCs w:val="22"/>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For purposes of this section, the independent actuary must be credentialed by the MAAA and have a minimum of five years’ experience setting health insurance rates and meet the requirements provided for in Section 38</w:t>
      </w:r>
      <w:r>
        <w:rPr>
          <w:szCs w:val="22"/>
        </w:rPr>
        <w:noBreakHyphen/>
        <w:t>60</w:t>
      </w:r>
      <w:r>
        <w:rPr>
          <w:szCs w:val="22"/>
        </w:rPr>
        <w:noBreakHyphen/>
        <w:t>60(E).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(I)</w:t>
      </w:r>
      <w:r>
        <w:rPr>
          <w:rFonts w:eastAsia="MS Mincho"/>
          <w:szCs w:val="22"/>
        </w:rPr>
        <w:tab/>
        <w:t>A South Carolina HealthNet plan authorized under this chapter may not be offered for sale in this State until it has been reviewed and approved by the director or his designee.</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must be given on forms prescribed or approved by the director or his designee;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extends to all services furnished to the South Carolina HealthNet plan participant during the time he was covered under the program; and</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(3)</w:t>
      </w:r>
      <w:r>
        <w:rPr>
          <w:szCs w:val="22"/>
        </w:rPr>
        <w:tab/>
        <w:t>applies even where the provider or employing entity had not been paid by the insurer.</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The eligible employees of a small employer and of a sole proprietor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board shall include in the third annual report compiled and submitted pursuant to subsection (B) a report on the effectiveness of the program, including any recommendations relating to the successful implementation and administration of the program.</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38</w:t>
      </w:r>
      <w:r>
        <w:rPr>
          <w:snapToGrid w:val="0"/>
        </w:rPr>
        <w:noBreakHyphen/>
        <w:t>60</w:t>
      </w:r>
      <w:r>
        <w:rPr>
          <w:snapToGrid w:val="0"/>
        </w:rPr>
        <w:noBreakHyphen/>
        <w:t>150.</w:t>
      </w:r>
      <w:r>
        <w:rPr>
          <w:snapToGrid w:val="0"/>
        </w:rPr>
        <w:tab/>
        <w:t>(A)</w:t>
      </w:r>
      <w:r>
        <w:rPr>
          <w:snapToGrid w:val="0"/>
        </w:rPr>
        <w:tab/>
      </w:r>
      <w:r>
        <w:t>Before termination of the program, participating insurers shall:</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offer to continue the South Carolina HealthNet plan coverage for a maximum of one additional year to allow the participant the opportunity to find alternative coverage; or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offer to replace the South Carolina HealthNet plan with a policy underwritten by the insurer that provides coverage similar to or greater than the South Carolina HealthNet plan at applicable rates offered by the insurer. </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t>(B)</w:t>
      </w:r>
      <w:r>
        <w:tab/>
      </w:r>
      <w:r>
        <w:rPr>
          <w:szCs w:val="24"/>
        </w:rPr>
        <w:t>An individual insured by a South Carolina HealthNet plan at the time of termination of the program shall have the right to transfer or continue coverage as provided for in subsection (A).  A transfer or continuation of coverage is not subject to medical underwriting nor increased premiums based on actual or expected health</w:t>
      </w:r>
      <w:r>
        <w:rPr>
          <w:szCs w:val="24"/>
        </w:rPr>
        <w:noBreakHyphen/>
        <w:t>status related factors. Creditable coverage must be provided for any waiting period or preexisting condition period specified in the policy to which the transfer is made.</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4"/>
        </w:rPr>
        <w:tab/>
        <w:t>(C)</w:t>
      </w:r>
      <w:r>
        <w:rPr>
          <w:szCs w:val="24"/>
        </w:rPr>
        <w:tab/>
        <w:t>The provisions of this section apply to the transfer or continuation of coverage so long as the coverage is provided through any other plan offered by the same insurer.”</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rsidR="0092723B" w:rsidRDefault="00927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Cs w:val="22"/>
        </w:rPr>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rsidR="0092723B" w:rsidRDefault="001A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723B" w:rsidRDefault="0092723B">
      <w:pPr>
        <w:pStyle w:val="BillDots"/>
      </w:pPr>
    </w:p>
    <w:sectPr w:rsidR="0092723B" w:rsidSect="0092723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23B" w:rsidRDefault="001A236F">
      <w:r>
        <w:separator/>
      </w:r>
    </w:p>
  </w:endnote>
  <w:endnote w:type="continuationSeparator" w:id="0">
    <w:p w:rsidR="0092723B" w:rsidRDefault="001A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79DDFF-7C0D-4946-A075-4A5E5630BECE}"/>
    <w:embedBold r:id="rId2" w:fontKey="{05D4F38C-D1E1-4C22-8212-644AEF95A560}"/>
  </w:font>
  <w:font w:name="Calibri">
    <w:panose1 w:val="020F0502020204030204"/>
    <w:charset w:val="00"/>
    <w:family w:val="swiss"/>
    <w:pitch w:val="variable"/>
    <w:sig w:usb0="E10002FF" w:usb1="4000ACFF" w:usb2="00000009" w:usb3="00000000" w:csb0="0000019F" w:csb1="00000000"/>
    <w:embedRegular r:id="rId3" w:fontKey="{F03097FC-FCA4-4A83-8571-1B3014F4446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9F127088-5F1B-4AA7-B8E3-C8580095B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3B" w:rsidRDefault="001A236F">
    <w:pPr>
      <w:pStyle w:val="Footer"/>
      <w:tabs>
        <w:tab w:val="clear" w:pos="4680"/>
        <w:tab w:val="clear" w:pos="9360"/>
        <w:tab w:val="center" w:pos="2995"/>
      </w:tabs>
      <w:spacing w:before="120"/>
    </w:pPr>
    <w:r>
      <w:t>[455-</w:t>
    </w:r>
    <w:r w:rsidR="0026245A">
      <w:fldChar w:fldCharType="begin"/>
    </w:r>
    <w:r w:rsidR="0026245A">
      <w:instrText xml:space="preserve"> PAGE  \* MERGEFORMAT </w:instrText>
    </w:r>
    <w:r w:rsidR="0026245A">
      <w:fldChar w:fldCharType="separate"/>
    </w:r>
    <w:r w:rsidR="0026245A">
      <w:rPr>
        <w:noProof/>
      </w:rPr>
      <w:t>1</w:t>
    </w:r>
    <w:r w:rsidR="0026245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3B" w:rsidRDefault="001A236F">
    <w:pPr>
      <w:pStyle w:val="Footer"/>
      <w:tabs>
        <w:tab w:val="clear" w:pos="4680"/>
        <w:tab w:val="clear" w:pos="9360"/>
        <w:tab w:val="center" w:pos="2995"/>
      </w:tabs>
      <w:spacing w:before="120"/>
    </w:pPr>
    <w:r>
      <w:t>[455]</w:t>
    </w:r>
    <w:r>
      <w:tab/>
    </w:r>
    <w:r w:rsidR="0026245A">
      <w:fldChar w:fldCharType="begin"/>
    </w:r>
    <w:r w:rsidR="0026245A">
      <w:instrText xml:space="preserve"> PAGE  \* MERGEFORMAT </w:instrText>
    </w:r>
    <w:r w:rsidR="0026245A">
      <w:fldChar w:fldCharType="separate"/>
    </w:r>
    <w:r>
      <w:rPr>
        <w:noProof/>
      </w:rPr>
      <w:t>11</w:t>
    </w:r>
    <w:r w:rsidR="002624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23B" w:rsidRDefault="001A236F">
      <w:r>
        <w:separator/>
      </w:r>
    </w:p>
  </w:footnote>
  <w:footnote w:type="continuationSeparator" w:id="0">
    <w:p w:rsidR="0092723B" w:rsidRDefault="001A23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86DW09"/>
    <w:docVar w:name="CoverBillType" w:val="b"/>
    <w:docVar w:name="docpath" w:val="L:\Council\bills\DKA\3186DW09.DOCX"/>
    <w:docVar w:name="dvBillNumber" w:val="455"/>
    <w:docVar w:name="dvBillNumberPrefix" w:val="S. "/>
    <w:docVar w:name="dvOriginalBody" w:val="Senate"/>
    <w:docVar w:name="dvSteno" w:val="DKA"/>
    <w:docVar w:name="NameofBody" w:val="s"/>
    <w:docVar w:name="vgroup2" w:val="Council"/>
  </w:docVars>
  <w:rsids>
    <w:rsidRoot w:val="0092723B"/>
    <w:rsid w:val="001A236F"/>
    <w:rsid w:val="0026245A"/>
    <w:rsid w:val="005147A5"/>
    <w:rsid w:val="00697D3D"/>
    <w:rsid w:val="00875353"/>
    <w:rsid w:val="0092723B"/>
    <w:rsid w:val="00FC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1B333C-3F31-4E24-A489-234BFC7D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72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23B"/>
    <w:rPr>
      <w:rFonts w:eastAsia="Times New Roman" w:cs="Times New Roman"/>
      <w:b/>
      <w:sz w:val="30"/>
      <w:szCs w:val="20"/>
    </w:rPr>
  </w:style>
  <w:style w:type="paragraph" w:styleId="Header">
    <w:name w:val="header"/>
    <w:basedOn w:val="Normal"/>
    <w:link w:val="HeaderChar"/>
    <w:uiPriority w:val="99"/>
    <w:semiHidden/>
    <w:unhideWhenUsed/>
    <w:rsid w:val="0092723B"/>
    <w:pPr>
      <w:tabs>
        <w:tab w:val="center" w:pos="4320"/>
        <w:tab w:val="right" w:pos="8640"/>
      </w:tabs>
    </w:pPr>
  </w:style>
  <w:style w:type="character" w:customStyle="1" w:styleId="HeaderChar">
    <w:name w:val="Header Char"/>
    <w:basedOn w:val="DefaultParagraphFont"/>
    <w:link w:val="Header"/>
    <w:uiPriority w:val="99"/>
    <w:semiHidden/>
    <w:rsid w:val="0092723B"/>
    <w:rPr>
      <w:rFonts w:eastAsia="Times New Roman" w:cs="Times New Roman"/>
      <w:szCs w:val="20"/>
    </w:rPr>
  </w:style>
  <w:style w:type="paragraph" w:styleId="Footer">
    <w:name w:val="footer"/>
    <w:basedOn w:val="Normal"/>
    <w:link w:val="FooterChar"/>
    <w:uiPriority w:val="99"/>
    <w:unhideWhenUsed/>
    <w:rsid w:val="0092723B"/>
    <w:pPr>
      <w:tabs>
        <w:tab w:val="center" w:pos="4680"/>
        <w:tab w:val="right" w:pos="9360"/>
      </w:tabs>
    </w:pPr>
  </w:style>
  <w:style w:type="character" w:customStyle="1" w:styleId="FooterChar">
    <w:name w:val="Footer Char"/>
    <w:basedOn w:val="DefaultParagraphFont"/>
    <w:link w:val="Footer"/>
    <w:uiPriority w:val="99"/>
    <w:rsid w:val="0092723B"/>
    <w:rPr>
      <w:rFonts w:eastAsia="Times New Roman" w:cs="Times New Roman"/>
      <w:szCs w:val="20"/>
    </w:rPr>
  </w:style>
  <w:style w:type="character" w:styleId="PageNumber">
    <w:name w:val="page number"/>
    <w:basedOn w:val="DefaultParagraphFont"/>
    <w:uiPriority w:val="99"/>
    <w:semiHidden/>
    <w:unhideWhenUsed/>
    <w:rsid w:val="0092723B"/>
  </w:style>
  <w:style w:type="character" w:styleId="LineNumber">
    <w:name w:val="line number"/>
    <w:basedOn w:val="DefaultParagraphFont"/>
    <w:uiPriority w:val="99"/>
    <w:semiHidden/>
    <w:unhideWhenUsed/>
    <w:rsid w:val="0092723B"/>
  </w:style>
  <w:style w:type="paragraph" w:customStyle="1" w:styleId="BillDots">
    <w:name w:val="BillDots"/>
    <w:basedOn w:val="Normal"/>
    <w:autoRedefine/>
    <w:qFormat/>
    <w:rsid w:val="0092723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2723B"/>
    <w:pPr>
      <w:tabs>
        <w:tab w:val="right" w:pos="5904"/>
      </w:tabs>
    </w:pPr>
  </w:style>
  <w:style w:type="character" w:styleId="Hyperlink">
    <w:name w:val="Hyperlink"/>
    <w:basedOn w:val="DefaultParagraphFont"/>
    <w:uiPriority w:val="99"/>
    <w:unhideWhenUsed/>
    <w:rsid w:val="00927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9-09.docx" TargetMode="External"/><Relationship Id="rId13" Type="http://schemas.openxmlformats.org/officeDocument/2006/relationships/hyperlink" Target="file:///h:\HJ%20Archive\2009\04-30-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2-19-09.docx" TargetMode="External"/><Relationship Id="rId12" Type="http://schemas.openxmlformats.org/officeDocument/2006/relationships/hyperlink" Target="file:///h:\SJ%20Archive\2009\04-30-09.docx" TargetMode="External"/><Relationship Id="rId17" Type="http://schemas.openxmlformats.org/officeDocument/2006/relationships/hyperlink" Target="file:///p:\pprever\2009-10\455_20090429.docx" TargetMode="External"/><Relationship Id="rId2" Type="http://schemas.openxmlformats.org/officeDocument/2006/relationships/styles" Target="styles.xml"/><Relationship Id="rId16" Type="http://schemas.openxmlformats.org/officeDocument/2006/relationships/hyperlink" Target="file:///p:\pprever\2009-10\455_200904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9-09.docx" TargetMode="External"/><Relationship Id="rId5" Type="http://schemas.openxmlformats.org/officeDocument/2006/relationships/footnotes" Target="footnotes.xml"/><Relationship Id="rId15" Type="http://schemas.openxmlformats.org/officeDocument/2006/relationships/hyperlink" Target="file:///p:\pprever\2009-10\455_20090219.docx" TargetMode="External"/><Relationship Id="rId10" Type="http://schemas.openxmlformats.org/officeDocument/2006/relationships/hyperlink" Target="file:///h:\SJ%20Archive\2009\04-29-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4-28-09.docx" TargetMode="External"/><Relationship Id="rId14" Type="http://schemas.openxmlformats.org/officeDocument/2006/relationships/hyperlink" Target="file:///h:\HJ%20Archive\2009\04-30-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B146-5664-432D-819E-B3434A6A8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3820</Words>
  <Characters>20504</Characters>
  <Application>Microsoft Office Word</Application>
  <DocSecurity>0</DocSecurity>
  <Lines>509</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455: Healthnet Program Act - South Carolina Legislature Online</dc:title>
  <dc:subject/>
  <dc:creator>SHARON PAIR</dc:creator>
  <cp:keywords/>
  <dc:description/>
  <cp:lastModifiedBy>N Cumfer</cp:lastModifiedBy>
  <cp:revision>14</cp:revision>
  <cp:lastPrinted>2009-02-18T16:14:00Z</cp:lastPrinted>
  <dcterms:created xsi:type="dcterms:W3CDTF">2009-04-30T04:22:00Z</dcterms:created>
  <dcterms:modified xsi:type="dcterms:W3CDTF">2014-11-24T14:59:00Z</dcterms:modified>
</cp:coreProperties>
</file>