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C99" w:rsidRDefault="00F54415">
      <w:pPr>
        <w:widowControl w:val="0"/>
        <w:jc w:val="center"/>
      </w:pPr>
      <w:bookmarkStart w:id="0" w:name="_GoBack"/>
      <w:bookmarkEnd w:id="0"/>
      <w:r>
        <w:rPr>
          <w:b/>
        </w:rPr>
        <w:t>South Carolina General Assembly</w:t>
      </w:r>
    </w:p>
    <w:p w:rsidR="00455C99" w:rsidRDefault="00F54415">
      <w:pPr>
        <w:widowControl w:val="0"/>
        <w:jc w:val="center"/>
      </w:pPr>
      <w:r>
        <w:t>118th Session, 2009-2010</w:t>
      </w:r>
    </w:p>
    <w:p w:rsidR="00455C99" w:rsidRDefault="00455C99">
      <w:pPr>
        <w:widowControl w:val="0"/>
      </w:pPr>
    </w:p>
    <w:p w:rsidR="00455C99" w:rsidRDefault="00F54415">
      <w:pPr>
        <w:widowControl w:val="0"/>
        <w:rPr>
          <w:b/>
        </w:rPr>
      </w:pPr>
      <w:r>
        <w:rPr>
          <w:b/>
        </w:rPr>
        <w:t>S. 469</w:t>
      </w:r>
    </w:p>
    <w:p w:rsidR="00455C99" w:rsidRDefault="00455C99">
      <w:pPr>
        <w:widowControl w:val="0"/>
        <w:rPr>
          <w:b/>
        </w:rPr>
      </w:pPr>
    </w:p>
    <w:p w:rsidR="00455C99" w:rsidRDefault="00F54415">
      <w:pPr>
        <w:widowControl w:val="0"/>
      </w:pPr>
      <w:r>
        <w:rPr>
          <w:b/>
        </w:rPr>
        <w:t>STATUS INFORMATION</w:t>
      </w:r>
    </w:p>
    <w:p w:rsidR="00455C99" w:rsidRDefault="00455C99">
      <w:pPr>
        <w:widowControl w:val="0"/>
      </w:pPr>
    </w:p>
    <w:p w:rsidR="00455C99" w:rsidRDefault="00F54415">
      <w:pPr>
        <w:widowControl w:val="0"/>
      </w:pPr>
      <w:r>
        <w:t>General Bill</w:t>
      </w:r>
    </w:p>
    <w:p w:rsidR="00455C99" w:rsidRDefault="00F54415">
      <w:pPr>
        <w:widowControl w:val="0"/>
      </w:pPr>
      <w:r>
        <w:t>Sponsors: Senators Matthews, Hutto and Land</w:t>
      </w:r>
    </w:p>
    <w:p w:rsidR="00455C99" w:rsidRDefault="00F54415">
      <w:pPr>
        <w:widowControl w:val="0"/>
      </w:pPr>
      <w:r>
        <w:t>Document Path: l:\s-resmin\drafting\jm\003orgc.tcm.jm.docx</w:t>
      </w:r>
    </w:p>
    <w:p w:rsidR="00455C99" w:rsidRDefault="00455C99">
      <w:pPr>
        <w:widowControl w:val="0"/>
      </w:pPr>
    </w:p>
    <w:p w:rsidR="00455C99" w:rsidRDefault="00F54415">
      <w:pPr>
        <w:widowControl w:val="0"/>
      </w:pPr>
      <w:r>
        <w:t>Introduced in the Senate on February 24, 2009</w:t>
      </w:r>
    </w:p>
    <w:p w:rsidR="00455C99" w:rsidRDefault="00F54415">
      <w:pPr>
        <w:widowControl w:val="0"/>
      </w:pPr>
      <w:r>
        <w:t xml:space="preserve">Currently residing in the Senate Committee on </w:t>
      </w:r>
      <w:r>
        <w:rPr>
          <w:b/>
        </w:rPr>
        <w:t>Education</w:t>
      </w:r>
    </w:p>
    <w:p w:rsidR="00455C99" w:rsidRDefault="00455C99">
      <w:pPr>
        <w:widowControl w:val="0"/>
      </w:pPr>
    </w:p>
    <w:p w:rsidR="00455C99" w:rsidRDefault="00F54415">
      <w:pPr>
        <w:widowControl w:val="0"/>
      </w:pPr>
      <w:r>
        <w:t>Summary: Orangeburg-Calhoun College Enterprise Campus</w:t>
      </w:r>
    </w:p>
    <w:p w:rsidR="00455C99" w:rsidRDefault="00455C99">
      <w:pPr>
        <w:widowControl w:val="0"/>
      </w:pPr>
    </w:p>
    <w:p w:rsidR="00455C99" w:rsidRDefault="00455C99">
      <w:pPr>
        <w:widowControl w:val="0"/>
      </w:pPr>
    </w:p>
    <w:p w:rsidR="00455C99" w:rsidRDefault="00F54415">
      <w:pPr>
        <w:widowControl w:val="0"/>
        <w:tabs>
          <w:tab w:val="center" w:pos="590"/>
          <w:tab w:val="center" w:pos="1440"/>
          <w:tab w:val="left" w:pos="1872"/>
          <w:tab w:val="left" w:pos="9187"/>
        </w:tabs>
      </w:pPr>
      <w:r>
        <w:rPr>
          <w:b/>
        </w:rPr>
        <w:t>HISTORY OF LEGISLATIVE ACTIONS</w:t>
      </w:r>
    </w:p>
    <w:p w:rsidR="00455C99" w:rsidRDefault="00455C99">
      <w:pPr>
        <w:widowControl w:val="0"/>
        <w:tabs>
          <w:tab w:val="center" w:pos="590"/>
          <w:tab w:val="center" w:pos="1440"/>
          <w:tab w:val="left" w:pos="1872"/>
          <w:tab w:val="left" w:pos="9187"/>
        </w:tabs>
      </w:pPr>
    </w:p>
    <w:p w:rsidR="00455C99" w:rsidRDefault="00F5441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55C99" w:rsidRDefault="00F54415">
      <w:pPr>
        <w:widowControl w:val="0"/>
        <w:tabs>
          <w:tab w:val="right" w:pos="1008"/>
          <w:tab w:val="left" w:pos="1152"/>
          <w:tab w:val="left" w:pos="1872"/>
          <w:tab w:val="left" w:pos="9187"/>
        </w:tabs>
        <w:ind w:left="2088" w:hanging="2088"/>
      </w:pPr>
      <w:r>
        <w:tab/>
        <w:t>2/24/2009</w:t>
      </w:r>
      <w:r>
        <w:tab/>
        <w:t>Senate</w:t>
      </w:r>
      <w:r>
        <w:tab/>
        <w:t xml:space="preserve">Introduced and read first time </w:t>
      </w:r>
      <w:hyperlink r:id="rId6" w:history="1">
        <w:r w:rsidRPr="00F179DA">
          <w:rPr>
            <w:rStyle w:val="Hyperlink"/>
          </w:rPr>
          <w:t>SJ</w:t>
        </w:r>
      </w:hyperlink>
      <w:r>
        <w:noBreakHyphen/>
        <w:t>8</w:t>
      </w:r>
    </w:p>
    <w:p w:rsidR="00455C99" w:rsidRDefault="00F54415">
      <w:pPr>
        <w:widowControl w:val="0"/>
        <w:tabs>
          <w:tab w:val="right" w:pos="1008"/>
          <w:tab w:val="left" w:pos="1152"/>
          <w:tab w:val="left" w:pos="1872"/>
          <w:tab w:val="left" w:pos="9187"/>
        </w:tabs>
        <w:ind w:left="2088" w:hanging="2088"/>
      </w:pPr>
      <w:r>
        <w:tab/>
        <w:t>2/24/2009</w:t>
      </w:r>
      <w:r>
        <w:tab/>
        <w:t>Senate</w:t>
      </w:r>
      <w:r>
        <w:tab/>
        <w:t xml:space="preserve">Referred to Committee on </w:t>
      </w:r>
      <w:r>
        <w:rPr>
          <w:b/>
        </w:rPr>
        <w:t>Education</w:t>
      </w:r>
      <w:r>
        <w:t xml:space="preserve"> </w:t>
      </w:r>
      <w:hyperlink r:id="rId7" w:history="1">
        <w:r w:rsidRPr="00F179DA">
          <w:rPr>
            <w:rStyle w:val="Hyperlink"/>
          </w:rPr>
          <w:t>SJ</w:t>
        </w:r>
      </w:hyperlink>
      <w:r>
        <w:noBreakHyphen/>
        <w:t>8</w:t>
      </w:r>
    </w:p>
    <w:p w:rsidR="00455C99" w:rsidRDefault="00455C99">
      <w:pPr>
        <w:widowControl w:val="0"/>
        <w:tabs>
          <w:tab w:val="right" w:pos="1008"/>
          <w:tab w:val="left" w:pos="1152"/>
          <w:tab w:val="left" w:pos="1872"/>
          <w:tab w:val="left" w:pos="9187"/>
        </w:tabs>
        <w:ind w:left="2088" w:hanging="2088"/>
      </w:pPr>
    </w:p>
    <w:p w:rsidR="00455C99" w:rsidRDefault="00455C99">
      <w:pPr>
        <w:widowControl w:val="0"/>
        <w:tabs>
          <w:tab w:val="right" w:pos="1008"/>
          <w:tab w:val="left" w:pos="1152"/>
          <w:tab w:val="left" w:pos="1872"/>
          <w:tab w:val="left" w:pos="9187"/>
        </w:tabs>
        <w:ind w:left="2088" w:hanging="2088"/>
      </w:pPr>
    </w:p>
    <w:p w:rsidR="00455C99" w:rsidRDefault="00F54415">
      <w:pPr>
        <w:widowControl w:val="0"/>
      </w:pPr>
      <w:r>
        <w:rPr>
          <w:b/>
        </w:rPr>
        <w:t>VERSIONS OF THIS BILL</w:t>
      </w:r>
    </w:p>
    <w:p w:rsidR="00455C99" w:rsidRDefault="00455C99">
      <w:pPr>
        <w:widowControl w:val="0"/>
      </w:pPr>
    </w:p>
    <w:p w:rsidR="00455C99" w:rsidRDefault="00C70E7E">
      <w:pPr>
        <w:widowControl w:val="0"/>
      </w:pPr>
      <w:hyperlink r:id="rId8" w:history="1">
        <w:r w:rsidR="00F54415">
          <w:rPr>
            <w:rStyle w:val="Hyperlink"/>
          </w:rPr>
          <w:t>2/24/2009</w:t>
        </w:r>
      </w:hyperlink>
    </w:p>
    <w:p w:rsidR="00455C99" w:rsidRDefault="00455C99"/>
    <w:p w:rsidR="00455C99" w:rsidRDefault="00455C99">
      <w:pPr>
        <w:sectPr w:rsidR="00455C99">
          <w:pgSz w:w="12240" w:h="15840" w:code="1"/>
          <w:pgMar w:top="1080" w:right="1440" w:bottom="1080" w:left="1440" w:header="720" w:footer="720" w:gutter="0"/>
          <w:cols w:space="720"/>
          <w:noEndnote/>
          <w:docGrid w:linePitch="360"/>
        </w:sect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Start w:id="4" w:name="titleend"/>
      <w:bookmarkEnd w:id="3"/>
      <w:bookmarkEnd w:id="4"/>
      <w:r>
        <w:rPr>
          <w:rFonts w:eastAsia="Times New Roman"/>
          <w:szCs w:val="20"/>
        </w:rPr>
        <w:t>TO AMEND CHAPTER 53, TITLE 59 OF THE 1976 CODE, BY ADDING ARTICLE 24 TO PROVIDE FOR THE ORANGEBURG</w:t>
      </w:r>
      <w:r>
        <w:rPr>
          <w:rFonts w:eastAsia="Times New Roman"/>
          <w:szCs w:val="20"/>
        </w:rPr>
        <w:noBreakHyphen/>
        <w:t>CALHOUN TECHNICAL COLLEGE ENTERPRISE CAMPUS, AND TO PROVIDE FOR ITS POWERS AND DUTIES.</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SECTION</w:t>
      </w:r>
      <w:r>
        <w:rPr>
          <w:rFonts w:eastAsia="MS Mincho" w:cs="Courier New"/>
          <w:szCs w:val="20"/>
        </w:rPr>
        <w:tab/>
        <w:t>1.</w:t>
      </w:r>
      <w:r>
        <w:rPr>
          <w:rFonts w:eastAsia="MS Mincho" w:cs="Courier New"/>
          <w:szCs w:val="20"/>
        </w:rPr>
        <w:tab/>
        <w:t>The General Assembly finds that:</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(1)</w:t>
      </w:r>
      <w:r>
        <w:rPr>
          <w:rFonts w:eastAsia="MS Mincho" w:cs="Courier New"/>
          <w:szCs w:val="20"/>
        </w:rPr>
        <w:tab/>
        <w:t>the State Board for Technical and Comprehensive Education (board) and its colleges are in a unique position to be active and full participants in the state</w:t>
      </w:r>
      <w:r>
        <w:rPr>
          <w:rFonts w:eastAsia="MS Mincho"/>
          <w:szCs w:val="20"/>
        </w:rPr>
        <w:t>’</w:t>
      </w:r>
      <w:r>
        <w:rPr>
          <w:rFonts w:eastAsia="MS Mincho" w:cs="Courier New"/>
          <w:szCs w:val="20"/>
        </w:rPr>
        <w:t xml:space="preserve">s effort to promote and enhance the economic development of this State through the location and development of high technology businesses and industries;  </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(2)</w:t>
      </w:r>
      <w:r>
        <w:rPr>
          <w:rFonts w:eastAsia="MS Mincho" w:cs="Courier New"/>
          <w:szCs w:val="20"/>
        </w:rPr>
        <w:tab/>
        <w:t>the role of the board and the colleges to provide educational and job training opportunities for citizens complements and enhances the ability of the state</w:t>
      </w:r>
      <w:r>
        <w:rPr>
          <w:rFonts w:eastAsia="MS Mincho"/>
          <w:szCs w:val="20"/>
        </w:rPr>
        <w:t>’</w:t>
      </w:r>
      <w:r>
        <w:rPr>
          <w:rFonts w:eastAsia="MS Mincho" w:cs="Courier New"/>
          <w:szCs w:val="20"/>
        </w:rPr>
        <w:t>s research universities to pursue and engage the high technology community;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(3)</w:t>
      </w:r>
      <w:r>
        <w:rPr>
          <w:rFonts w:eastAsia="MS Mincho" w:cs="Courier New"/>
          <w:szCs w:val="20"/>
        </w:rPr>
        <w:tab/>
        <w:t>the board and the colleges can better utilize their resources if necessary powers and flexibility are granted by the General Assembly for the board and the colleges to fulfill their role in a high technology economy;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(4)</w:t>
      </w:r>
      <w:r>
        <w:rPr>
          <w:rFonts w:eastAsia="MS Mincho" w:cs="Courier New"/>
          <w:szCs w:val="20"/>
        </w:rPr>
        <w:tab/>
        <w:t>it is in the best interest of the State to provide the powers and flexibility for the board, and the best method for accomplishing this is through the creation and establishment of separate and distinct instrumentalities of the State;</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(5)</w:t>
      </w:r>
      <w:r>
        <w:rPr>
          <w:rFonts w:eastAsia="MS Mincho" w:cs="Courier New"/>
          <w:szCs w:val="20"/>
        </w:rPr>
        <w:tab/>
        <w:t>the board carefully shall review and approve each individual project brought to it by these colleges and instrumentalities and shall approve projects based on the best interest of the State; and</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lastRenderedPageBreak/>
        <w:tab/>
        <w:t>(6)</w:t>
      </w:r>
      <w:r>
        <w:rPr>
          <w:rFonts w:eastAsia="MS Mincho" w:cs="Courier New"/>
          <w:szCs w:val="20"/>
        </w:rPr>
        <w:tab/>
        <w:t>authorizations contained in this act are in the public interest, serve a public purpose, and promote the health, safety, welfare, and convenience of the people of the State.</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SECTION</w:t>
      </w:r>
      <w:r>
        <w:rPr>
          <w:rFonts w:eastAsia="MS Mincho" w:cs="Courier New"/>
          <w:szCs w:val="20"/>
        </w:rPr>
        <w:tab/>
        <w:t>2.</w:t>
      </w:r>
      <w:r>
        <w:rPr>
          <w:rFonts w:eastAsia="MS Mincho" w:cs="Courier New"/>
          <w:szCs w:val="20"/>
        </w:rPr>
        <w:tab/>
        <w:t xml:space="preserve">Chapter 53, Title 59 of the 1976 Code is amended by adding: </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r>
        <w:rPr>
          <w:rFonts w:eastAsia="MS Mincho" w:cs="Courier New"/>
          <w:szCs w:val="20"/>
        </w:rPr>
        <w:tab/>
        <w:t>“Article 24</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r>
        <w:rPr>
          <w:rFonts w:eastAsia="MS Mincho" w:cs="Courier New"/>
          <w:szCs w:val="20"/>
        </w:rPr>
        <w:t>Orangeburg</w:t>
      </w:r>
      <w:r>
        <w:rPr>
          <w:rFonts w:eastAsia="MS Mincho" w:cs="Courier New"/>
          <w:szCs w:val="20"/>
        </w:rPr>
        <w:noBreakHyphen/>
        <w:t xml:space="preserve">Calhoun Technical College </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r>
        <w:rPr>
          <w:rFonts w:eastAsia="MS Mincho" w:cs="Courier New"/>
          <w:szCs w:val="20"/>
        </w:rPr>
        <w:t>Enterprise Campus Authority</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Section 59</w:t>
      </w:r>
      <w:r>
        <w:rPr>
          <w:rFonts w:eastAsia="MS Mincho" w:cs="Courier New"/>
          <w:szCs w:val="20"/>
        </w:rPr>
        <w:noBreakHyphen/>
        <w:t>53</w:t>
      </w:r>
      <w:r>
        <w:rPr>
          <w:rFonts w:eastAsia="MS Mincho" w:cs="Courier New"/>
          <w:szCs w:val="20"/>
        </w:rPr>
        <w:noBreakHyphen/>
        <w:t>2100.</w:t>
      </w:r>
      <w:r>
        <w:rPr>
          <w:rFonts w:eastAsia="MS Mincho" w:cs="Courier New"/>
          <w:szCs w:val="20"/>
        </w:rPr>
        <w:tab/>
        <w:t xml:space="preserve">This article may be cited as the </w:t>
      </w:r>
      <w:r>
        <w:rPr>
          <w:rFonts w:eastAsia="MS Mincho"/>
          <w:szCs w:val="20"/>
        </w:rPr>
        <w:t>‘</w:t>
      </w:r>
      <w:r>
        <w:rPr>
          <w:rFonts w:eastAsia="MS Mincho" w:cs="Courier New"/>
          <w:szCs w:val="20"/>
        </w:rPr>
        <w:t>Orangeburg</w:t>
      </w:r>
      <w:r>
        <w:rPr>
          <w:rFonts w:eastAsia="MS Mincho" w:cs="Courier New"/>
          <w:szCs w:val="20"/>
        </w:rPr>
        <w:noBreakHyphen/>
        <w:t>Calhoun Technical College Enterprise Campus Authority Act</w:t>
      </w:r>
      <w:r>
        <w:rPr>
          <w:rFonts w:eastAsia="MS Mincho"/>
          <w:szCs w:val="20"/>
        </w:rPr>
        <w:t>’</w:t>
      </w:r>
      <w:r>
        <w:rPr>
          <w:rFonts w:eastAsia="MS Mincho" w:cs="Courier New"/>
          <w:szCs w:val="20"/>
        </w:rPr>
        <w:t>.</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2110.</w:t>
      </w:r>
      <w:r>
        <w:rPr>
          <w:rFonts w:eastAsia="Times New Roman"/>
          <w:color w:val="000000"/>
          <w:szCs w:val="20"/>
        </w:rPr>
        <w:tab/>
        <w:t>As used in this article, unless the context clearly requires otherwise:</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‘Authority’ means the Orangeburg</w:t>
      </w:r>
      <w:r>
        <w:rPr>
          <w:rFonts w:eastAsia="Times New Roman"/>
          <w:color w:val="000000"/>
          <w:szCs w:val="20"/>
        </w:rPr>
        <w:noBreakHyphen/>
        <w:t>Calhoun Technical College Enterprise Campus Authority.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‘Board’ means the governing body of the authority.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‘Commission’ means the Orangeburg</w:t>
      </w:r>
      <w:r>
        <w:rPr>
          <w:rFonts w:eastAsia="Times New Roman"/>
          <w:color w:val="000000"/>
          <w:szCs w:val="20"/>
        </w:rPr>
        <w:noBreakHyphen/>
        <w:t>Calhoun Technical College Commission.</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2120.</w:t>
      </w:r>
      <w:r>
        <w:rPr>
          <w:rFonts w:eastAsia="Times New Roman"/>
          <w:color w:val="000000"/>
          <w:szCs w:val="20"/>
        </w:rPr>
        <w:tab/>
        <w:t>(A)</w:t>
      </w:r>
      <w:r>
        <w:rPr>
          <w:rFonts w:eastAsia="Times New Roman"/>
          <w:color w:val="000000"/>
          <w:szCs w:val="20"/>
        </w:rPr>
        <w:tab/>
        <w:t>There is created a body politic and corporate known as the Orangeburg</w:t>
      </w:r>
      <w:r>
        <w:rPr>
          <w:rFonts w:eastAsia="Times New Roman"/>
          <w:color w:val="000000"/>
          <w:szCs w:val="20"/>
        </w:rPr>
        <w:noBreakHyphen/>
        <w:t>Calhoun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(B)</w:t>
      </w:r>
      <w:r>
        <w:rPr>
          <w:rFonts w:eastAsia="Times New Roman"/>
          <w:color w:val="000000"/>
          <w:szCs w:val="20"/>
        </w:rPr>
        <w:tab/>
        <w:t>The board shall exercise the powers of the authority.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(C)</w:t>
      </w:r>
      <w:r>
        <w:rPr>
          <w:rFonts w:eastAsia="Times New Roman"/>
          <w:color w:val="000000"/>
          <w:szCs w:val="20"/>
        </w:rPr>
        <w:tab/>
        <w:t>The purpose of the authority is to provide for the management, development, and operation of the enterprise campus.</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2130.</w:t>
      </w:r>
      <w:r>
        <w:rPr>
          <w:rFonts w:eastAsia="Times New Roman"/>
          <w:color w:val="000000"/>
          <w:szCs w:val="20"/>
        </w:rPr>
        <w:tab/>
        <w:t>(A)</w:t>
      </w:r>
      <w:r>
        <w:rPr>
          <w:rFonts w:eastAsia="Times New Roman"/>
          <w:color w:val="000000"/>
          <w:szCs w:val="2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have perpetual succession;</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sue and be sued in its own name;</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adopt, promulgate, amend, and repeal bylaws, not inconsistent with provisions in this article for the administration of the authority’s affairs and the implementation of its functions;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have a seal and alter it at its pleasure, although the failure to affix the seal does not affect the validity of an instrument executed on behalf of the authority;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make and execute contracts and all other instruments and agreements necessary or convenient for the performance of its duties and the exercise of its powers and functions;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(6)</w:t>
      </w:r>
      <w:r>
        <w:rPr>
          <w:rFonts w:eastAsia="Times New Roman"/>
          <w:color w:val="000000"/>
          <w:szCs w:val="2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(7)</w:t>
      </w:r>
      <w:r>
        <w:rPr>
          <w:rFonts w:eastAsia="Times New Roman"/>
          <w:color w:val="000000"/>
          <w:szCs w:val="2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(8)</w:t>
      </w:r>
      <w:r>
        <w:rPr>
          <w:rFonts w:eastAsia="Times New Roman"/>
          <w:color w:val="000000"/>
          <w:szCs w:val="20"/>
        </w:rPr>
        <w:tab/>
        <w:t>procure insurance against any loss in connection with its property, assets, or activities, including insurance against liability for its acts or the acts of its employees or agents;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(9)</w:t>
      </w:r>
      <w:r>
        <w:rPr>
          <w:rFonts w:eastAsia="Times New Roman"/>
          <w:color w:val="000000"/>
          <w:szCs w:val="2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(10)</w:t>
      </w:r>
      <w:r>
        <w:rPr>
          <w:rFonts w:eastAsia="Times New Roman"/>
          <w:color w:val="000000"/>
          <w:szCs w:val="2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(11)</w:t>
      </w:r>
      <w:r>
        <w:rPr>
          <w:rFonts w:eastAsia="Times New Roman"/>
          <w:color w:val="000000"/>
          <w:szCs w:val="20"/>
        </w:rPr>
        <w:tab/>
        <w:t>invest or reinvest its funds as provided in Section 11</w:t>
      </w:r>
      <w:r>
        <w:rPr>
          <w:rFonts w:eastAsia="Times New Roman"/>
          <w:color w:val="000000"/>
          <w:szCs w:val="20"/>
        </w:rPr>
        <w:noBreakHyphen/>
        <w:t>9</w:t>
      </w:r>
      <w:r>
        <w:rPr>
          <w:rFonts w:eastAsia="Times New Roman"/>
          <w:color w:val="000000"/>
          <w:szCs w:val="20"/>
        </w:rPr>
        <w:noBreakHyphen/>
        <w:t>660;</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(12)</w:t>
      </w:r>
      <w:r>
        <w:rPr>
          <w:rFonts w:eastAsia="Times New Roman"/>
          <w:color w:val="000000"/>
          <w:szCs w:val="2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(13)</w:t>
      </w:r>
      <w:r>
        <w:rPr>
          <w:rFonts w:eastAsia="Times New Roman"/>
          <w:color w:val="000000"/>
          <w:szCs w:val="20"/>
        </w:rPr>
        <w:tab/>
        <w:t>fix and revise, when necessary, and charge and collect rates, fees, rents, and charges for the use of, and for the services furnished by it, for all or any portion of the enterprise campus;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(14)</w:t>
      </w:r>
      <w:r>
        <w:rPr>
          <w:rFonts w:eastAsia="Times New Roman"/>
          <w:color w:val="000000"/>
          <w:szCs w:val="2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(15)</w:t>
      </w:r>
      <w:r>
        <w:rPr>
          <w:rFonts w:eastAsia="Times New Roman"/>
          <w:color w:val="000000"/>
          <w:szCs w:val="2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(16)</w:t>
      </w:r>
      <w:r>
        <w:rPr>
          <w:rFonts w:eastAsia="Times New Roman"/>
          <w:color w:val="000000"/>
          <w:szCs w:val="20"/>
        </w:rPr>
        <w:tab/>
        <w:t>appoint and provide for advisory committees;</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(17)</w:t>
      </w:r>
      <w:r>
        <w:rPr>
          <w:rFonts w:eastAsia="Times New Roman"/>
          <w:color w:val="000000"/>
          <w:szCs w:val="20"/>
        </w:rPr>
        <w:tab/>
        <w:t>establish nonprofit corporations in accordance with applicable corporate law and with the powers as provided by the applicable corporate law; and</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(18)</w:t>
      </w:r>
      <w:r>
        <w:rPr>
          <w:rFonts w:eastAsia="Times New Roman"/>
          <w:color w:val="000000"/>
          <w:szCs w:val="20"/>
        </w:rPr>
        <w:tab/>
        <w:t>do all other things necessary or convenient to exercise the powers granted or reasonably implied by this article.</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w:t>
      </w:r>
      <w:r>
        <w:rPr>
          <w:rFonts w:eastAsia="Times New Roman"/>
          <w:szCs w:val="20"/>
        </w:rPr>
        <w:noBreakHyphen/>
        <w:t>53</w:t>
      </w:r>
      <w:r>
        <w:rPr>
          <w:rFonts w:eastAsia="Times New Roman"/>
          <w:szCs w:val="20"/>
        </w:rPr>
        <w:noBreakHyphen/>
        <w:t>2140.</w:t>
      </w:r>
      <w:r>
        <w:rPr>
          <w:rFonts w:eastAsia="Times New Roman"/>
          <w:szCs w:val="20"/>
        </w:rPr>
        <w:tab/>
        <w:t>(A)</w:t>
      </w:r>
      <w:r>
        <w:rPr>
          <w:rFonts w:eastAsia="Times New Roman"/>
          <w:szCs w:val="20"/>
        </w:rPr>
        <w:tab/>
        <w:t>The authority must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The authority shall adhere to fire, life, and safety codes as required by the Office of State Engineer.  In the leasing of property and the granting of easements and rights of way by the authority, the authority is exempt from the provisions of Sections 1</w:t>
      </w:r>
      <w:r>
        <w:rPr>
          <w:rFonts w:eastAsia="Times New Roman"/>
          <w:szCs w:val="20"/>
        </w:rPr>
        <w:noBreakHyphen/>
        <w:t>11</w:t>
      </w:r>
      <w:r>
        <w:rPr>
          <w:rFonts w:eastAsia="Times New Roman"/>
          <w:szCs w:val="20"/>
        </w:rPr>
        <w:noBreakHyphen/>
        <w:t>55, 1</w:t>
      </w:r>
      <w:r>
        <w:rPr>
          <w:rFonts w:eastAsia="Times New Roman"/>
          <w:szCs w:val="20"/>
        </w:rPr>
        <w:noBreakHyphen/>
        <w:t>11</w:t>
      </w:r>
      <w:r>
        <w:rPr>
          <w:rFonts w:eastAsia="Times New Roman"/>
          <w:szCs w:val="20"/>
        </w:rPr>
        <w:noBreakHyphen/>
        <w:t>56, and 10</w:t>
      </w:r>
      <w:r>
        <w:rPr>
          <w:rFonts w:eastAsia="Times New Roman"/>
          <w:szCs w:val="20"/>
        </w:rPr>
        <w:noBreakHyphen/>
        <w:t>1</w:t>
      </w:r>
      <w:r>
        <w:rPr>
          <w:rFonts w:eastAsia="Times New Roman"/>
          <w:szCs w:val="20"/>
        </w:rPr>
        <w:noBreakHyphen/>
        <w:t>130.</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The authority is exempt from all regulations and general laws governing disposal of surplus government property.</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Section 59</w:t>
      </w:r>
      <w:r>
        <w:rPr>
          <w:rFonts w:eastAsia="Times New Roman"/>
          <w:szCs w:val="20"/>
        </w:rPr>
        <w:noBreakHyphen/>
        <w:t>53</w:t>
      </w:r>
      <w:r>
        <w:rPr>
          <w:rFonts w:eastAsia="Times New Roman"/>
          <w:szCs w:val="20"/>
        </w:rPr>
        <w:noBreakHyphen/>
        <w:t>2150.</w:t>
      </w:r>
      <w:r>
        <w:rPr>
          <w:rFonts w:eastAsia="Times New Roman"/>
          <w:szCs w:val="20"/>
        </w:rPr>
        <w:tab/>
      </w:r>
      <w:r>
        <w:rPr>
          <w:rFonts w:eastAsia="Times New Roman"/>
          <w:color w:val="000000"/>
          <w:szCs w:val="20"/>
        </w:rPr>
        <w:t>(A)</w:t>
      </w:r>
      <w:r>
        <w:rPr>
          <w:rFonts w:eastAsia="Times New Roman"/>
          <w:color w:val="000000"/>
          <w:szCs w:val="20"/>
        </w:rPr>
        <w:tab/>
        <w:t>The authority may issue bonds in the same manner and for the same purposes, including the purposes of the authority, pursuant to the provisions of the Higher Education Revenue Bond Act, as provided in Chapter 147, Title 59.</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issuance by the authority of any bonds, notes, other obligations, or indebtedness is subject to the approval by resolution of the State Budget and Control Board.</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State, the commission, the state’s political subdivisions, and the authority are not obligated to pay the principal of or interest on the bond or other costs incident to the bond except from the revenue, money, or property of the authority pledged;</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 xml:space="preserve">the full faith and credit and the taxing power of the State and its political subdivisions are not pledged to the payment of the principal of or interest on the bond, note, other obligation, or indebtedness; and </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authority does not have taxing power.</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Section 59</w:t>
      </w:r>
      <w:r>
        <w:rPr>
          <w:rFonts w:eastAsia="Times New Roman"/>
          <w:szCs w:val="20"/>
        </w:rPr>
        <w:noBreakHyphen/>
        <w:t>53</w:t>
      </w:r>
      <w:r>
        <w:rPr>
          <w:rFonts w:eastAsia="Times New Roman"/>
          <w:szCs w:val="20"/>
        </w:rPr>
        <w:noBreakHyphen/>
        <w:t>2160.</w:t>
      </w:r>
      <w:r>
        <w:rPr>
          <w:rFonts w:eastAsia="Times New Roman"/>
          <w:szCs w:val="20"/>
        </w:rPr>
        <w:tab/>
      </w:r>
      <w:r>
        <w:rPr>
          <w:rFonts w:eastAsia="Times New Roman"/>
          <w:color w:val="000000"/>
          <w:szCs w:val="2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2170.</w:t>
      </w:r>
      <w:r>
        <w:rPr>
          <w:rFonts w:eastAsia="Times New Roman"/>
          <w:color w:val="000000"/>
          <w:szCs w:val="2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2180.</w:t>
      </w:r>
      <w:r>
        <w:rPr>
          <w:rFonts w:eastAsia="Times New Roman"/>
          <w:color w:val="000000"/>
          <w:szCs w:val="20"/>
        </w:rPr>
        <w:tab/>
        <w:t>(A)</w:t>
      </w:r>
      <w:r>
        <w:rPr>
          <w:rFonts w:eastAsia="Times New Roman"/>
          <w:color w:val="000000"/>
          <w:szCs w:val="20"/>
        </w:rPr>
        <w:tab/>
        <w:t>The Orangeburg</w:t>
      </w:r>
      <w:r>
        <w:rPr>
          <w:rFonts w:eastAsia="Times New Roman"/>
          <w:color w:val="000000"/>
          <w:szCs w:val="20"/>
        </w:rPr>
        <w:noBreakHyphen/>
        <w:t>Calhoun Technical College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the Orangeburg</w:t>
      </w:r>
      <w:r>
        <w:rPr>
          <w:rFonts w:eastAsia="Times New Roman"/>
          <w:color w:val="000000"/>
          <w:szCs w:val="20"/>
        </w:rPr>
        <w:noBreakHyphen/>
        <w:t>Calhoun Technical College Enterprise Campus Authority and the projects to undertaken.</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An area commission may provide for the management, development, and operation of part or all of the enterprise campus property by the authority.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An area commission is authorized to enter into contracts with the authority for the provision of executive and administrative services to the authority.</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rFonts w:eastAsia="Times New Roman"/>
          <w:color w:val="000000"/>
          <w:szCs w:val="20"/>
        </w:rPr>
        <w:noBreakHyphen/>
        <w:t>supported technical institutions in the acquisition and acceptance of real and personal property and other assets.”</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SECTION</w:t>
      </w:r>
      <w:r>
        <w:rPr>
          <w:rFonts w:eastAsia="Times New Roman"/>
          <w:color w:val="000000"/>
          <w:szCs w:val="20"/>
        </w:rPr>
        <w:tab/>
        <w:t>3.</w:t>
      </w:r>
      <w:r>
        <w:rPr>
          <w:rFonts w:eastAsia="Times New Roman"/>
          <w:color w:val="000000"/>
          <w:szCs w:val="20"/>
        </w:rPr>
        <w:tab/>
        <w:t>Nothing in the article may be construed to alter, amend, or otherwise affect any existing technical or community college enterprise campus or authority currently in existence.</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5C99" w:rsidRDefault="0045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rsidR="00455C99" w:rsidRDefault="00F5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5C99" w:rsidRDefault="00455C99">
      <w:pPr>
        <w:suppressAutoHyphens/>
        <w:jc w:val="both"/>
        <w:rPr>
          <w:rFonts w:eastAsia="Times New Roman"/>
        </w:rPr>
      </w:pPr>
    </w:p>
    <w:sectPr w:rsidR="00455C99" w:rsidSect="00455C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C99" w:rsidRDefault="00F54415">
      <w:r>
        <w:separator/>
      </w:r>
    </w:p>
  </w:endnote>
  <w:endnote w:type="continuationSeparator" w:id="0">
    <w:p w:rsidR="00455C99" w:rsidRDefault="00F5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318F11-E3F8-4272-880A-53E89D63275F}"/>
    <w:embedBold r:id="rId2" w:fontKey="{E208E685-5694-40C1-AA6E-960EDE7E45F0}"/>
  </w:font>
  <w:font w:name="Calibri">
    <w:panose1 w:val="020F0502020204030204"/>
    <w:charset w:val="00"/>
    <w:family w:val="swiss"/>
    <w:pitch w:val="variable"/>
    <w:sig w:usb0="E10002FF" w:usb1="4000ACFF" w:usb2="00000009" w:usb3="00000000" w:csb0="0000019F" w:csb1="00000000"/>
    <w:embedRegular r:id="rId3" w:fontKey="{DF00AFB3-51D8-4F51-BEFC-615202C0B65B}"/>
    <w:embedBold r:id="rId4" w:fontKey="{115ACF2E-238D-4802-BAE4-1E3D3E78DB3C}"/>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embedRegular r:id="rId5" w:fontKey="{AD545AB6-BF23-4200-A939-C9FF80AB8EE5}"/>
  </w:font>
  <w:font w:name="Cambria">
    <w:panose1 w:val="02040503050406030204"/>
    <w:charset w:val="00"/>
    <w:family w:val="roman"/>
    <w:pitch w:val="variable"/>
    <w:sig w:usb0="E00002FF" w:usb1="400004FF" w:usb2="00000000" w:usb3="00000000" w:csb0="0000019F" w:csb1="00000000"/>
    <w:embedRegular r:id="rId6" w:fontKey="{3F1E8D95-C7BA-4186-982B-30A7AE30D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C99" w:rsidRDefault="00F54415">
    <w:pPr>
      <w:pStyle w:val="Footer"/>
      <w:tabs>
        <w:tab w:val="clear" w:pos="4680"/>
        <w:tab w:val="clear" w:pos="9360"/>
        <w:tab w:val="center" w:pos="2995"/>
      </w:tabs>
      <w:spacing w:before="120"/>
    </w:pPr>
    <w:r>
      <w:t>[469]</w:t>
    </w:r>
    <w:r>
      <w:tab/>
    </w:r>
    <w:r w:rsidR="00C70E7E">
      <w:fldChar w:fldCharType="begin"/>
    </w:r>
    <w:r w:rsidR="00C70E7E">
      <w:instrText xml:space="preserve"> PAGE  \* MERGEFORMAT </w:instrText>
    </w:r>
    <w:r w:rsidR="00C70E7E">
      <w:fldChar w:fldCharType="separate"/>
    </w:r>
    <w:r w:rsidR="00C70E7E">
      <w:rPr>
        <w:noProof/>
      </w:rPr>
      <w:t>1</w:t>
    </w:r>
    <w:r w:rsidR="00C70E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C99" w:rsidRDefault="00F54415">
      <w:r>
        <w:separator/>
      </w:r>
    </w:p>
  </w:footnote>
  <w:footnote w:type="continuationSeparator" w:id="0">
    <w:p w:rsidR="00455C99" w:rsidRDefault="00F544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3ORGC.TCM.JM"/>
    <w:docVar w:name="CoverAttorneyInitials" w:val="TCM"/>
    <w:docVar w:name="CoverAttorneyLastName" w:val="Miles"/>
    <w:docVar w:name="CoverBillType" w:val="b"/>
    <w:docVar w:name="CoverSenator" w:val="JM"/>
    <w:docVar w:name="dvBillNumber" w:val="469"/>
    <w:docVar w:name="dvBillNumberPrefix" w:val="S. "/>
    <w:docVar w:name="dvOriginalBody" w:val="Senate"/>
    <w:docVar w:name="fulldraftpath" w:val="L:\S-RESMIN\DRAFTING\JM\003ORGC.TCM.JM.DOCX"/>
    <w:docVar w:name="NameofBody" w:val="S"/>
    <w:docVar w:name="vgroup2" w:val="S-RESMIN"/>
  </w:docVars>
  <w:rsids>
    <w:rsidRoot w:val="00455C99"/>
    <w:rsid w:val="00455C99"/>
    <w:rsid w:val="00AF2ADB"/>
    <w:rsid w:val="00BD6CE0"/>
    <w:rsid w:val="00C70E7E"/>
    <w:rsid w:val="00CD39DB"/>
    <w:rsid w:val="00F179DA"/>
    <w:rsid w:val="00F5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08AD003-191F-4C31-BA1E-04081E91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C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55C99"/>
    <w:pPr>
      <w:tabs>
        <w:tab w:val="center" w:pos="4680"/>
        <w:tab w:val="right" w:pos="9360"/>
      </w:tabs>
    </w:pPr>
  </w:style>
  <w:style w:type="character" w:customStyle="1" w:styleId="FooterChar">
    <w:name w:val="Footer Char"/>
    <w:basedOn w:val="DefaultParagraphFont"/>
    <w:link w:val="Footer"/>
    <w:uiPriority w:val="99"/>
    <w:semiHidden/>
    <w:rsid w:val="00455C99"/>
  </w:style>
  <w:style w:type="character" w:styleId="PageNumber">
    <w:name w:val="page number"/>
    <w:basedOn w:val="DefaultParagraphFont"/>
    <w:uiPriority w:val="99"/>
    <w:semiHidden/>
    <w:unhideWhenUsed/>
    <w:rsid w:val="00455C99"/>
  </w:style>
  <w:style w:type="character" w:styleId="LineNumber">
    <w:name w:val="line number"/>
    <w:basedOn w:val="DefaultParagraphFont"/>
    <w:uiPriority w:val="99"/>
    <w:semiHidden/>
    <w:unhideWhenUsed/>
    <w:rsid w:val="00455C99"/>
  </w:style>
  <w:style w:type="paragraph" w:styleId="Header">
    <w:name w:val="header"/>
    <w:basedOn w:val="Normal"/>
    <w:link w:val="HeaderChar"/>
    <w:uiPriority w:val="99"/>
    <w:semiHidden/>
    <w:unhideWhenUsed/>
    <w:rsid w:val="00455C99"/>
    <w:pPr>
      <w:tabs>
        <w:tab w:val="center" w:pos="4680"/>
        <w:tab w:val="right" w:pos="9360"/>
      </w:tabs>
    </w:pPr>
  </w:style>
  <w:style w:type="character" w:customStyle="1" w:styleId="HeaderChar">
    <w:name w:val="Header Char"/>
    <w:basedOn w:val="DefaultParagraphFont"/>
    <w:link w:val="Header"/>
    <w:uiPriority w:val="99"/>
    <w:semiHidden/>
    <w:rsid w:val="00455C99"/>
  </w:style>
  <w:style w:type="paragraph" w:customStyle="1" w:styleId="BillDots">
    <w:name w:val="BillDots"/>
    <w:basedOn w:val="Normal"/>
    <w:qFormat/>
    <w:rsid w:val="00455C9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55C99"/>
    <w:pPr>
      <w:tabs>
        <w:tab w:val="right" w:pos="5904"/>
      </w:tabs>
    </w:pPr>
  </w:style>
  <w:style w:type="character" w:styleId="Hyperlink">
    <w:name w:val="Hyperlink"/>
    <w:basedOn w:val="DefaultParagraphFont"/>
    <w:uiPriority w:val="99"/>
    <w:unhideWhenUsed/>
    <w:rsid w:val="00455C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9_20090224.docx" TargetMode="External"/><Relationship Id="rId3" Type="http://schemas.openxmlformats.org/officeDocument/2006/relationships/webSettings" Target="webSettings.xml"/><Relationship Id="rId7" Type="http://schemas.openxmlformats.org/officeDocument/2006/relationships/hyperlink" Target="file:///h:\SJ%20Archive\2009\02-2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2532</Words>
  <Characters>13667</Characters>
  <Application>Microsoft Office Word</Application>
  <DocSecurity>0</DocSecurity>
  <Lines>330</Lines>
  <Paragraphs>79</Paragraphs>
  <ScaleCrop>false</ScaleCrop>
  <Company> </Company>
  <LinksUpToDate>false</LinksUpToDate>
  <CharactersWithSpaces>16227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469: Orangeburg-Calhoun College Enterprise Campus - South Carolina Legislature Online</dc:title>
  <dc:subject/>
  <dc:creator>TEMMILES</dc:creator>
  <cp:keywords/>
  <dc:description/>
  <cp:lastModifiedBy>N Cumfer</cp:lastModifiedBy>
  <cp:revision>8</cp:revision>
  <cp:lastPrinted>2009-02-20T15:38:00Z</cp:lastPrinted>
  <dcterms:created xsi:type="dcterms:W3CDTF">2009-02-24T18:32:00Z</dcterms:created>
  <dcterms:modified xsi:type="dcterms:W3CDTF">2014-11-24T15:00:00Z</dcterms:modified>
</cp:coreProperties>
</file>