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3D1" w:rsidRDefault="00733664">
      <w:pPr>
        <w:widowControl w:val="0"/>
        <w:jc w:val="center"/>
      </w:pPr>
      <w:bookmarkStart w:id="0" w:name="_GoBack"/>
      <w:bookmarkEnd w:id="0"/>
      <w:r>
        <w:rPr>
          <w:b/>
        </w:rPr>
        <w:t>South Carolina General Assembly</w:t>
      </w:r>
    </w:p>
    <w:p w:rsidR="003B63D1" w:rsidRDefault="00733664">
      <w:pPr>
        <w:widowControl w:val="0"/>
        <w:jc w:val="center"/>
      </w:pPr>
      <w:r>
        <w:t>118th Session, 2009-2010</w:t>
      </w:r>
    </w:p>
    <w:p w:rsidR="003B63D1" w:rsidRDefault="003B63D1">
      <w:pPr>
        <w:widowControl w:val="0"/>
      </w:pPr>
    </w:p>
    <w:p w:rsidR="003B63D1" w:rsidRDefault="00733664">
      <w:pPr>
        <w:widowControl w:val="0"/>
        <w:rPr>
          <w:b/>
        </w:rPr>
      </w:pPr>
      <w:r>
        <w:rPr>
          <w:b/>
        </w:rPr>
        <w:t>S. 628</w:t>
      </w:r>
    </w:p>
    <w:p w:rsidR="003B63D1" w:rsidRDefault="003B63D1">
      <w:pPr>
        <w:widowControl w:val="0"/>
        <w:rPr>
          <w:b/>
        </w:rPr>
      </w:pPr>
    </w:p>
    <w:p w:rsidR="003B63D1" w:rsidRDefault="00733664">
      <w:pPr>
        <w:widowControl w:val="0"/>
      </w:pPr>
      <w:r>
        <w:rPr>
          <w:b/>
        </w:rPr>
        <w:t>STATUS INFORMATION</w:t>
      </w:r>
    </w:p>
    <w:p w:rsidR="003B63D1" w:rsidRDefault="003B63D1">
      <w:pPr>
        <w:widowControl w:val="0"/>
      </w:pPr>
    </w:p>
    <w:p w:rsidR="003B63D1" w:rsidRDefault="00733664">
      <w:pPr>
        <w:widowControl w:val="0"/>
      </w:pPr>
      <w:r>
        <w:t>General Bill</w:t>
      </w:r>
    </w:p>
    <w:p w:rsidR="003B63D1" w:rsidRDefault="00733664">
      <w:pPr>
        <w:widowControl w:val="0"/>
      </w:pPr>
      <w:r>
        <w:t>Sponsors: Senators McConnell and Davis</w:t>
      </w:r>
    </w:p>
    <w:p w:rsidR="003B63D1" w:rsidRDefault="00733664">
      <w:pPr>
        <w:widowControl w:val="0"/>
      </w:pPr>
      <w:r>
        <w:t>Document Path: l:\s-jud\bills\mcconnell\jud0071.kw.docx</w:t>
      </w:r>
    </w:p>
    <w:p w:rsidR="003B63D1" w:rsidRDefault="003B63D1">
      <w:pPr>
        <w:widowControl w:val="0"/>
      </w:pPr>
    </w:p>
    <w:p w:rsidR="003B63D1" w:rsidRDefault="00733664">
      <w:pPr>
        <w:widowControl w:val="0"/>
      </w:pPr>
      <w:r>
        <w:t>Introduced in the Senate on March 26, 2009</w:t>
      </w:r>
    </w:p>
    <w:p w:rsidR="003B63D1" w:rsidRDefault="00733664">
      <w:pPr>
        <w:widowControl w:val="0"/>
      </w:pPr>
      <w:r>
        <w:t>Currently residing in the Senate</w:t>
      </w:r>
    </w:p>
    <w:p w:rsidR="003B63D1" w:rsidRDefault="003B63D1">
      <w:pPr>
        <w:widowControl w:val="0"/>
      </w:pPr>
    </w:p>
    <w:p w:rsidR="003B63D1" w:rsidRDefault="00733664">
      <w:pPr>
        <w:widowControl w:val="0"/>
      </w:pPr>
      <w:r>
        <w:t>Summary: Raffles</w:t>
      </w:r>
    </w:p>
    <w:p w:rsidR="003B63D1" w:rsidRDefault="003B63D1">
      <w:pPr>
        <w:widowControl w:val="0"/>
      </w:pPr>
    </w:p>
    <w:p w:rsidR="003B63D1" w:rsidRDefault="003B63D1">
      <w:pPr>
        <w:widowControl w:val="0"/>
      </w:pPr>
    </w:p>
    <w:p w:rsidR="003B63D1" w:rsidRDefault="00733664">
      <w:pPr>
        <w:widowControl w:val="0"/>
        <w:tabs>
          <w:tab w:val="center" w:pos="590"/>
          <w:tab w:val="center" w:pos="1440"/>
          <w:tab w:val="left" w:pos="1872"/>
          <w:tab w:val="left" w:pos="9187"/>
        </w:tabs>
      </w:pPr>
      <w:r>
        <w:rPr>
          <w:b/>
        </w:rPr>
        <w:t>HISTORY OF LEGISLATIVE ACTIONS</w:t>
      </w:r>
    </w:p>
    <w:p w:rsidR="003B63D1" w:rsidRDefault="003B63D1">
      <w:pPr>
        <w:widowControl w:val="0"/>
        <w:tabs>
          <w:tab w:val="center" w:pos="590"/>
          <w:tab w:val="center" w:pos="1440"/>
          <w:tab w:val="left" w:pos="1872"/>
          <w:tab w:val="left" w:pos="9187"/>
        </w:tabs>
      </w:pPr>
    </w:p>
    <w:p w:rsidR="003B63D1" w:rsidRDefault="0073366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B63D1" w:rsidRDefault="00733664">
      <w:pPr>
        <w:widowControl w:val="0"/>
        <w:tabs>
          <w:tab w:val="right" w:pos="1008"/>
          <w:tab w:val="left" w:pos="1152"/>
          <w:tab w:val="left" w:pos="1872"/>
          <w:tab w:val="left" w:pos="9187"/>
        </w:tabs>
        <w:ind w:left="2088" w:hanging="2088"/>
      </w:pPr>
      <w:r>
        <w:tab/>
        <w:t>3/26/2009</w:t>
      </w:r>
      <w:r>
        <w:tab/>
        <w:t>Senate</w:t>
      </w:r>
      <w:r>
        <w:tab/>
        <w:t xml:space="preserve">Introduced and read first time </w:t>
      </w:r>
      <w:hyperlink r:id="rId6" w:history="1">
        <w:r w:rsidRPr="001930E7">
          <w:rPr>
            <w:rStyle w:val="Hyperlink"/>
          </w:rPr>
          <w:t>SJ</w:t>
        </w:r>
      </w:hyperlink>
      <w:r>
        <w:noBreakHyphen/>
        <w:t>3</w:t>
      </w:r>
    </w:p>
    <w:p w:rsidR="003B63D1" w:rsidRDefault="00733664">
      <w:pPr>
        <w:widowControl w:val="0"/>
        <w:tabs>
          <w:tab w:val="right" w:pos="1008"/>
          <w:tab w:val="left" w:pos="1152"/>
          <w:tab w:val="left" w:pos="1872"/>
          <w:tab w:val="left" w:pos="9187"/>
        </w:tabs>
        <w:ind w:left="2088" w:hanging="2088"/>
      </w:pPr>
      <w:r>
        <w:tab/>
        <w:t>3/26/2009</w:t>
      </w:r>
      <w:r>
        <w:tab/>
        <w:t>Senate</w:t>
      </w:r>
      <w:r>
        <w:tab/>
        <w:t xml:space="preserve">Referred to Committee on </w:t>
      </w:r>
      <w:r>
        <w:rPr>
          <w:b/>
        </w:rPr>
        <w:t>Judiciary</w:t>
      </w:r>
      <w:r>
        <w:t xml:space="preserve"> </w:t>
      </w:r>
      <w:hyperlink r:id="rId7" w:history="1">
        <w:r w:rsidRPr="001930E7">
          <w:rPr>
            <w:rStyle w:val="Hyperlink"/>
          </w:rPr>
          <w:t>SJ</w:t>
        </w:r>
      </w:hyperlink>
      <w:r>
        <w:noBreakHyphen/>
        <w:t>3</w:t>
      </w:r>
    </w:p>
    <w:p w:rsidR="003B63D1" w:rsidRDefault="00733664">
      <w:pPr>
        <w:widowControl w:val="0"/>
        <w:tabs>
          <w:tab w:val="right" w:pos="1008"/>
          <w:tab w:val="left" w:pos="1152"/>
          <w:tab w:val="left" w:pos="1872"/>
          <w:tab w:val="left" w:pos="9187"/>
        </w:tabs>
        <w:ind w:left="2088" w:hanging="2088"/>
      </w:pPr>
      <w:r>
        <w:tab/>
        <w:t>4/16/2009</w:t>
      </w:r>
      <w:r>
        <w:tab/>
        <w:t>Senate</w:t>
      </w:r>
      <w:r>
        <w:tab/>
        <w:t>Referred to Subcommittee: Ford (ch), Hutto, Knotts, Lourie, Campbell, Mulvaney, Shoopman</w:t>
      </w:r>
    </w:p>
    <w:p w:rsidR="003B63D1" w:rsidRDefault="00733664">
      <w:pPr>
        <w:widowControl w:val="0"/>
        <w:tabs>
          <w:tab w:val="right" w:pos="1008"/>
          <w:tab w:val="left" w:pos="1152"/>
          <w:tab w:val="left" w:pos="1872"/>
          <w:tab w:val="left" w:pos="9187"/>
        </w:tabs>
        <w:ind w:left="2088" w:hanging="2088"/>
      </w:pPr>
      <w:r>
        <w:tab/>
        <w:t>5/13/2009</w:t>
      </w:r>
      <w:r>
        <w:tab/>
        <w:t>Senate</w:t>
      </w:r>
      <w:r>
        <w:tab/>
        <w:t xml:space="preserve">Committee report: Favorable with amendment </w:t>
      </w:r>
      <w:r>
        <w:rPr>
          <w:b/>
        </w:rPr>
        <w:t>Judiciary</w:t>
      </w:r>
      <w:r>
        <w:t xml:space="preserve"> </w:t>
      </w:r>
      <w:hyperlink r:id="rId8" w:history="1">
        <w:r w:rsidRPr="001930E7">
          <w:rPr>
            <w:rStyle w:val="Hyperlink"/>
          </w:rPr>
          <w:t>SJ</w:t>
        </w:r>
      </w:hyperlink>
      <w:r>
        <w:noBreakHyphen/>
        <w:t>11</w:t>
      </w:r>
    </w:p>
    <w:p w:rsidR="003B63D1" w:rsidRDefault="003B63D1">
      <w:pPr>
        <w:widowControl w:val="0"/>
        <w:tabs>
          <w:tab w:val="right" w:pos="1008"/>
          <w:tab w:val="left" w:pos="1152"/>
          <w:tab w:val="left" w:pos="1872"/>
          <w:tab w:val="left" w:pos="9187"/>
        </w:tabs>
        <w:ind w:left="2088" w:hanging="2088"/>
      </w:pPr>
    </w:p>
    <w:p w:rsidR="003B63D1" w:rsidRDefault="003B63D1">
      <w:pPr>
        <w:widowControl w:val="0"/>
        <w:tabs>
          <w:tab w:val="right" w:pos="1008"/>
          <w:tab w:val="left" w:pos="1152"/>
          <w:tab w:val="left" w:pos="1872"/>
          <w:tab w:val="left" w:pos="9187"/>
        </w:tabs>
        <w:ind w:left="2088" w:hanging="2088"/>
      </w:pPr>
    </w:p>
    <w:p w:rsidR="003B63D1" w:rsidRDefault="00733664">
      <w:pPr>
        <w:widowControl w:val="0"/>
      </w:pPr>
      <w:r>
        <w:rPr>
          <w:b/>
        </w:rPr>
        <w:t>VERSIONS OF THIS BILL</w:t>
      </w:r>
    </w:p>
    <w:p w:rsidR="003B63D1" w:rsidRDefault="003B63D1">
      <w:pPr>
        <w:widowControl w:val="0"/>
      </w:pPr>
    </w:p>
    <w:p w:rsidR="003B63D1" w:rsidRDefault="00235F91">
      <w:pPr>
        <w:widowControl w:val="0"/>
      </w:pPr>
      <w:hyperlink r:id="rId9" w:history="1">
        <w:r w:rsidR="00733664">
          <w:rPr>
            <w:rStyle w:val="Hyperlink"/>
          </w:rPr>
          <w:t>3/26/2009</w:t>
        </w:r>
      </w:hyperlink>
    </w:p>
    <w:p w:rsidR="003B63D1" w:rsidRDefault="00235F91">
      <w:hyperlink r:id="rId10" w:history="1">
        <w:r w:rsidR="00733664">
          <w:rPr>
            <w:rStyle w:val="Hyperlink"/>
          </w:rPr>
          <w:t>5/13/2009</w:t>
        </w:r>
      </w:hyperlink>
    </w:p>
    <w:p w:rsidR="003B63D1" w:rsidRDefault="003B63D1"/>
    <w:p w:rsidR="003B63D1" w:rsidRDefault="003B63D1">
      <w:pPr>
        <w:sectPr w:rsidR="003B63D1">
          <w:pgSz w:w="12240" w:h="15840" w:code="1"/>
          <w:pgMar w:top="1080" w:right="1440" w:bottom="1080" w:left="1440" w:header="720" w:footer="720" w:gutter="0"/>
          <w:cols w:space="720"/>
          <w:noEndnote/>
          <w:docGrid w:linePitch="360"/>
        </w:sect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right" w:pos="5933"/>
        </w:tabs>
        <w:suppressAutoHyphens/>
        <w:jc w:val="both"/>
        <w:rPr>
          <w:rFonts w:eastAsia="Times New Roman"/>
        </w:rPr>
      </w:pPr>
      <w:r>
        <w:rPr>
          <w:rFonts w:eastAsia="Times New Roman"/>
        </w:rPr>
        <w:tab/>
      </w:r>
      <w:r>
        <w:rPr>
          <w:rFonts w:eastAsia="Times New Roman"/>
          <w:b/>
          <w:sz w:val="36"/>
        </w:rPr>
        <w:t>S. 628</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Davis</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628) </w:t>
      </w:r>
      <w:r>
        <w:rPr>
          <w:color w:val="000000" w:themeColor="text1"/>
          <w:u w:color="000000" w:themeColor="text1"/>
        </w:rPr>
        <w:t>to amend Chapter 19, Title 16 of the South Carolina Code of Laws, 1976, relating to gambling and lotteries, so as to amend existing laws on unlawful lotteries</w:t>
      </w:r>
      <w:r>
        <w:rPr>
          <w:rFonts w:eastAsia="Times New Roman"/>
        </w:rPr>
        <w:t>, etc., respectfully</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the bill, as and if amended, page 5, lines 39-42,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rPr>
          <w:rFonts w:eastAsia="Times New Roman"/>
          <w:snapToGrid w:val="0"/>
          <w:szCs w:val="20"/>
        </w:rPr>
        <w:tab/>
      </w:r>
      <w:r>
        <w:rPr>
          <w:rFonts w:eastAsia="Times New Roman"/>
          <w:snapToGrid w:val="0"/>
          <w:szCs w:val="20"/>
        </w:rPr>
        <w:tab/>
      </w:r>
      <w:r>
        <w:rPr>
          <w:rFonts w:eastAsia="Times New Roman"/>
          <w:snapToGrid w:val="0"/>
          <w:szCs w:val="20"/>
        </w:rPr>
        <w:tab/>
      </w:r>
      <w:r>
        <w:rPr>
          <w:u w:val="single" w:color="000000" w:themeColor="text1"/>
        </w:rPr>
        <w:t>(1)</w:t>
      </w:r>
      <w:r>
        <w:rPr>
          <w:u w:color="000000" w:themeColor="text1"/>
        </w:rPr>
        <w:tab/>
      </w:r>
      <w:r>
        <w:rPr>
          <w:u w:val="single" w:color="000000" w:themeColor="text1"/>
        </w:rPr>
        <w:t>‘Contest of chance’ means a contest, game, gaming scheme, or gaming device in which the outcome, though skill may be a factor, is predominantly determined by chance.</w:t>
      </w:r>
      <w:r>
        <w:tab/>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6, lines 35-38,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tab/>
      </w:r>
      <w:r>
        <w:tab/>
      </w:r>
      <w:r>
        <w:tab/>
      </w:r>
      <w:r>
        <w:rPr>
          <w:u w:val="single" w:color="000000" w:themeColor="text1"/>
        </w:rPr>
        <w:t>(6)</w:t>
      </w:r>
      <w:r>
        <w:rPr>
          <w:u w:color="000000" w:themeColor="text1"/>
        </w:rPr>
        <w:tab/>
      </w:r>
      <w:r>
        <w:rPr>
          <w:u w:val="single" w:color="000000" w:themeColor="text1"/>
        </w:rPr>
        <w:t>‘Lottery’ means an unlawful gambling scheme in which there exists: (1) the giving of a prize or something of value, (2) by a method of chance, (3) for a consideration paid by the player, contestant, or participant.</w:t>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as and if amended, page 9, lines 20-21,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tab/>
      </w:r>
      <w:r>
        <w:tab/>
      </w:r>
      <w:r>
        <w:rPr>
          <w:u w:val="single"/>
        </w:rPr>
        <w:t>(C)</w:t>
      </w:r>
      <w:r>
        <w:tab/>
      </w:r>
      <w:r>
        <w:rPr>
          <w:u w:val="single" w:color="000000" w:themeColor="text1"/>
        </w:rPr>
        <w:t>Social gambling is not unlawful under this chapter.</w:t>
      </w:r>
      <w:r>
        <w:tab/>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14, lines 8-25,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lastRenderedPageBreak/>
        <w:tab/>
        <w:t>/</w:t>
      </w:r>
      <w:r>
        <w:tab/>
      </w:r>
      <w:r>
        <w:tab/>
      </w:r>
      <w:r>
        <w:tab/>
      </w:r>
      <w:r>
        <w:rPr>
          <w:u w:val="single" w:color="000000" w:themeColor="text1"/>
        </w:rPr>
        <w:t>Section 16</w:t>
      </w:r>
      <w:r>
        <w:rPr>
          <w:u w:val="single" w:color="000000" w:themeColor="text1"/>
        </w:rPr>
        <w:noBreakHyphen/>
        <w:t>19</w:t>
      </w:r>
      <w:r>
        <w:rPr>
          <w:u w:val="single" w:color="000000" w:themeColor="text1"/>
        </w:rPr>
        <w:noBreakHyphen/>
        <w:t>310.</w:t>
      </w:r>
      <w:r>
        <w:rPr>
          <w:u w:val="single" w:color="000000" w:themeColor="text1"/>
        </w:rPr>
        <w:tab/>
      </w:r>
      <w:r>
        <w:tab/>
      </w:r>
      <w:r>
        <w:rPr>
          <w:u w:val="single" w:color="000000" w:themeColor="text1"/>
        </w:rPr>
        <w:t>(A)</w:t>
      </w:r>
      <w:r>
        <w:rPr>
          <w:u w:color="000000" w:themeColor="text1"/>
        </w:rPr>
        <w:tab/>
      </w:r>
      <w:r>
        <w:rPr>
          <w:u w:val="single" w:color="000000" w:themeColor="text1"/>
        </w:rPr>
        <w:t>A charitable organization is allowed to conduct raffles or special limited charity fundraising events in accordance with the provisions of this article if the charitable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color="000000" w:themeColor="text1"/>
        </w:rPr>
        <w:t>(1)</w:t>
      </w:r>
      <w:r>
        <w:tab/>
      </w:r>
      <w:r>
        <w:rPr>
          <w:u w:val="single" w:color="000000" w:themeColor="text1"/>
        </w:rPr>
        <w:t>is recognized by the South Carolina Department of Revenue and the United States Internal Revenue Service as exempt from federal and state income taxation;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tab/>
      </w:r>
      <w:r>
        <w:rPr>
          <w:u w:val="single"/>
        </w:rPr>
        <w:t>(2)</w:t>
      </w:r>
      <w:r>
        <w:tab/>
      </w:r>
      <w:r>
        <w:rPr>
          <w:u w:val="single" w:color="000000" w:themeColor="text1"/>
        </w:rPr>
        <w:t>has been in continuous existence and operation in the state for a period of not less than one year from the date of the first raffle or special limited charity fundraising event;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color="000000" w:themeColor="text1"/>
        </w:rPr>
        <w:t>(3)</w:t>
      </w:r>
      <w:r>
        <w:tab/>
      </w:r>
      <w:r>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fraternal, or nonprofit criteria.  Sufficient evidence includes submission of a document attesting to the stated purpose of the organization, names of board members or organizers of the organization, and the formation date of the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The requirement to register for the purpose of conducting raffles and special limited charity fundraising events with the Secretary of State shall apply to any and all charitable organizations that intend to conduct a raffle or special limited charity fundraising event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r>
      <w:r>
        <w:rPr>
          <w:u w:val="single"/>
        </w:rPr>
        <w:t>Registrations for raffles and special limited charity fundraising events shall expire twelve months from the date of issuance.  Organizations that meet the requirements of Section 16-19-300(3) shall submit an annual raffle and special limited charity fundraising event form along with a fee of fifty dollars to the Office of the Secretary of State.  This registration form and fee shall cover all allowable raffles and special limited charity fundraising events for the year.  Proceeds from the fees shall be retained by the Secretary of State for enforcement of these provisions.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val="single"/>
        </w:rPr>
        <w:tab/>
        <w:t>(D)</w:t>
      </w:r>
      <w:r>
        <w:tab/>
      </w:r>
      <w:r>
        <w:rPr>
          <w:u w:val="single"/>
        </w:rPr>
        <w:t>Charitable organizations registering with the Secretary of State shall be subject to investigation and other actions by the Secretary of State, and subject to all penalties contained in Chapter 56, Title 33.  The Secretary of State’s Office shall refer violations to law enforcement for criminal prosecution pursuant to the provisions of this article.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(E)</w:t>
      </w:r>
      <w:r>
        <w:tab/>
      </w:r>
      <w:r>
        <w:rPr>
          <w:u w:val="single" w:color="000000" w:themeColor="text1"/>
        </w:rPr>
        <w:t>Charitable organizations may advertise raffles or special limited charity fundraising events.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color="000000" w:themeColor="text1"/>
        </w:rPr>
        <w:t>(F)</w:t>
      </w:r>
      <w:r>
        <w:rPr>
          <w:u w:color="000000" w:themeColor="text1"/>
        </w:rPr>
        <w:tab/>
      </w:r>
      <w:r>
        <w:rPr>
          <w:u w:val="single" w:color="000000" w:themeColor="text1"/>
        </w:rPr>
        <w:t>Charitable organizations are limited to four raffles per year, and two special limited charity fundraising events per year.  Each affiliate or subsidiary of a charitable organization that otherwise qualifies pursuant to the requirements of this article and shares a Federal Employer’s identification Number (EIN) with the parent charitable organization shall be entitled to hold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14, lines 27-42, and page 15, lines 1-18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tab/>
      </w:r>
      <w:r>
        <w:tab/>
      </w:r>
      <w:r>
        <w:tab/>
      </w:r>
      <w:r>
        <w:rPr>
          <w:u w:val="single" w:color="000000" w:themeColor="text1"/>
        </w:rPr>
        <w:t>Section 16</w:t>
      </w:r>
      <w:r>
        <w:rPr>
          <w:u w:val="single" w:color="000000" w:themeColor="text1"/>
        </w:rPr>
        <w:noBreakHyphen/>
        <w:t>19</w:t>
      </w:r>
      <w:r>
        <w:rPr>
          <w:u w:val="single" w:color="000000" w:themeColor="text1"/>
        </w:rPr>
        <w:noBreakHyphen/>
        <w:t>320.</w:t>
      </w:r>
      <w:r>
        <w:rPr>
          <w:u w:val="single" w:color="000000" w:themeColor="text1"/>
        </w:rPr>
        <w:tab/>
      </w:r>
      <w:r>
        <w:tab/>
      </w:r>
      <w:r>
        <w:rPr>
          <w:u w:val="single" w:color="000000" w:themeColor="text1"/>
        </w:rPr>
        <w:t>(A)</w:t>
      </w:r>
      <w:r>
        <w:rPr>
          <w:u w:color="000000" w:themeColor="text1"/>
        </w:rPr>
        <w:tab/>
      </w:r>
      <w:r>
        <w:rPr>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  No gross receipts, expenses, or net receipts of a raffle or special limited charity fundraising event shall be used to influence the outcome of a political office or to influence the outcome of an issue pending before a political body.</w:t>
      </w:r>
      <w:r>
        <w:tab/>
      </w:r>
      <w:r>
        <w:tab/>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(B</w:t>
      </w:r>
      <w:r>
        <w:rPr>
          <w:u w:color="000000" w:themeColor="text1"/>
        </w:rPr>
        <w:t>)</w:t>
      </w:r>
      <w:r>
        <w:rPr>
          <w:u w:color="000000" w:themeColor="text1"/>
        </w:rPr>
        <w:tab/>
      </w:r>
      <w:r>
        <w:rPr>
          <w:u w:val="single" w:color="000000" w:themeColor="text1"/>
        </w:rPr>
        <w:t>No charitable organization shall enter into a contract with any person to have that person operate raffles or special limited charity fundraising events on behalf of the charitable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(C)</w:t>
      </w:r>
      <w:r>
        <w:rPr>
          <w:u w:color="000000" w:themeColor="text1"/>
        </w:rPr>
        <w:tab/>
      </w:r>
      <w:r>
        <w:rPr>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color="000000" w:themeColor="text1"/>
        </w:rPr>
        <w:t>(D)</w:t>
      </w:r>
      <w:r>
        <w:rPr>
          <w:u w:color="000000" w:themeColor="text1"/>
        </w:rPr>
        <w:tab/>
      </w:r>
      <w:r>
        <w:rPr>
          <w:u w:val="single" w:color="000000" w:themeColor="text1"/>
        </w:rPr>
        <w:t>No person shall pay consulting fees or something of value to any person for any services performed in relation to the operation or conduct of a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(E)</w:t>
      </w:r>
      <w:r>
        <w:rPr>
          <w:u w:color="000000" w:themeColor="text1"/>
        </w:rPr>
        <w:tab/>
      </w:r>
      <w:r>
        <w:rPr>
          <w:u w:val="single" w:color="000000" w:themeColor="text1"/>
        </w:rPr>
        <w:t>A raffle or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raffle or special limited charity fundraising event is not compensation.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val="single" w:color="000000" w:themeColor="text1"/>
        </w:rPr>
        <w:t>(F)</w:t>
      </w:r>
      <w:r>
        <w:rPr>
          <w:u w:color="000000" w:themeColor="text1"/>
        </w:rPr>
        <w:tab/>
      </w:r>
      <w:r>
        <w:rPr>
          <w:u w:val="single" w:color="000000" w:themeColor="text1"/>
        </w:rPr>
        <w:t>A charitable organization shall not conduct raffles or special limited charity fundraising events through any agent or third party.  Rental of raffle or special limited charity game equipment is not considered conducting a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val="single" w:color="000000" w:themeColor="text1"/>
        </w:rPr>
        <w:t>(G)</w:t>
      </w:r>
      <w:r>
        <w:rPr>
          <w:u w:color="000000" w:themeColor="text1"/>
        </w:rPr>
        <w:tab/>
      </w:r>
      <w:r>
        <w:rPr>
          <w:u w:val="single" w:color="000000" w:themeColor="text1"/>
        </w:rPr>
        <w:t>The provisions of this article are not intended and shall not be construed to allow the play of raffles or special limited charity games through any electronic device or machine.</w:t>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15, lines 20-36,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t>/</w:t>
      </w:r>
      <w:r>
        <w:tab/>
      </w:r>
      <w:r>
        <w:tab/>
      </w:r>
      <w:r>
        <w:tab/>
      </w:r>
      <w:r>
        <w:rPr>
          <w:u w:val="single" w:color="000000" w:themeColor="text1"/>
        </w:rPr>
        <w:t>Section 16</w:t>
      </w:r>
      <w:r>
        <w:rPr>
          <w:u w:val="single" w:color="000000" w:themeColor="text1"/>
        </w:rPr>
        <w:noBreakHyphen/>
        <w:t>19</w:t>
      </w:r>
      <w:r>
        <w:rPr>
          <w:u w:val="single" w:color="000000" w:themeColor="text1"/>
        </w:rPr>
        <w:noBreakHyphen/>
        <w:t>330.</w:t>
      </w:r>
      <w:r>
        <w:rPr>
          <w:u w:val="single" w:color="000000" w:themeColor="text1"/>
        </w:rPr>
        <w:tab/>
      </w:r>
      <w:r>
        <w:tab/>
      </w:r>
      <w:r>
        <w:rPr>
          <w:u w:val="single" w:color="000000" w:themeColor="text1"/>
        </w:rPr>
        <w:t>Expenses that are reasonable and necessary to raffles or special limited charity fundraising events as authorized by this article are allowable and include expenses incurred for: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(A)</w:t>
      </w:r>
      <w:r>
        <w:tab/>
      </w:r>
      <w:r>
        <w:rPr>
          <w:u w:val="single" w:color="000000" w:themeColor="text1"/>
        </w:rPr>
        <w:t>advertising, including the cost of printing raffle and special limited charity fundraising event gift certificates;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(B)</w:t>
      </w:r>
      <w:r>
        <w:tab/>
      </w:r>
      <w:r>
        <w:rPr>
          <w:u w:val="single" w:color="000000" w:themeColor="text1"/>
        </w:rPr>
        <w:t>food and beverage costs;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(C)</w:t>
      </w:r>
      <w:r>
        <w:tab/>
      </w:r>
      <w:r>
        <w:rPr>
          <w:u w:val="single" w:color="000000" w:themeColor="text1"/>
        </w:rPr>
        <w:t>rental of equipment and hiring a person to operate the equipment during the limited time period allowed for raffles or special limited charity fundraising games;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(D)</w:t>
      </w:r>
      <w:r>
        <w:tab/>
      </w:r>
      <w:r>
        <w:rPr>
          <w:u w:val="single" w:color="000000" w:themeColor="text1"/>
        </w:rPr>
        <w:t>repairs to premises and equipment;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(E)</w:t>
      </w:r>
      <w:r>
        <w:tab/>
      </w:r>
      <w:r>
        <w:rPr>
          <w:u w:val="single" w:color="000000" w:themeColor="text1"/>
        </w:rPr>
        <w:t>door prizes or prizes;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(F)</w:t>
      </w:r>
      <w:r>
        <w:tab/>
      </w:r>
      <w:r>
        <w:rPr>
          <w:u w:val="single" w:color="000000" w:themeColor="text1"/>
        </w:rPr>
        <w:t>stated rental or insurance expenses;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val="single" w:color="000000" w:themeColor="text1"/>
        </w:rPr>
        <w:t>(G</w:t>
      </w:r>
      <w:r>
        <w:rPr>
          <w:u w:color="000000" w:themeColor="text1"/>
        </w:rPr>
        <w:t>)</w:t>
      </w:r>
      <w:r>
        <w:rPr>
          <w:u w:color="000000" w:themeColor="text1"/>
        </w:rPr>
        <w:tab/>
      </w:r>
      <w:r>
        <w:rPr>
          <w:u w:val="single" w:color="000000" w:themeColor="text1"/>
        </w:rPr>
        <w:t>bookkeeping or accounting services.</w:t>
      </w:r>
      <w:r>
        <w:tab/>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15, lines 38-43 and page 16, lines 1-33, by deleting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tab/>
      </w:r>
      <w:r>
        <w:tab/>
      </w:r>
      <w:r>
        <w:tab/>
      </w:r>
      <w:r>
        <w:rPr>
          <w:u w:val="single" w:color="000000" w:themeColor="text1"/>
        </w:rPr>
        <w:t>Section 16</w:t>
      </w:r>
      <w:r>
        <w:rPr>
          <w:u w:val="single" w:color="000000" w:themeColor="text1"/>
        </w:rPr>
        <w:noBreakHyphen/>
        <w:t>19</w:t>
      </w:r>
      <w:r>
        <w:rPr>
          <w:u w:val="single" w:color="000000" w:themeColor="text1"/>
        </w:rPr>
        <w:noBreakHyphen/>
        <w:t>340.</w:t>
      </w:r>
      <w:r>
        <w:rPr>
          <w:u w:val="single" w:color="000000" w:themeColor="text1"/>
        </w:rPr>
        <w:tab/>
      </w:r>
      <w:r>
        <w:tab/>
      </w:r>
      <w:r>
        <w:rPr>
          <w:u w:val="single"/>
        </w:rPr>
        <w:t>A charitable</w:t>
      </w:r>
      <w:r>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(A)</w:t>
      </w:r>
      <w:r>
        <w:tab/>
      </w:r>
      <w:r>
        <w:rPr>
          <w:u w:val="single" w:color="000000" w:themeColor="text1"/>
        </w:rPr>
        <w:t>the charitable organization must meet all of the requirements of Section 16-19-310;</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(B)</w:t>
      </w:r>
      <w:r>
        <w:tab/>
      </w:r>
      <w:r>
        <w:rPr>
          <w:u w:val="single" w:color="000000" w:themeColor="text1"/>
        </w:rPr>
        <w:t>no merchandize prize shall be purchased or offered that exceeds the gross receipts collected by the applicant, and no cash prize shall exceed five thousand dollars;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Pr>
          <w:u w:val="single"/>
        </w:rPr>
        <w:t>(C)</w:t>
      </w:r>
      <w:r>
        <w:tab/>
      </w:r>
      <w:r>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w:t>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16, lines 35-43, and page 17, lines 1-25,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t>/</w:t>
      </w:r>
      <w:r>
        <w:tab/>
      </w:r>
      <w:r>
        <w:tab/>
      </w:r>
      <w:r>
        <w:tab/>
      </w:r>
      <w:r>
        <w:rPr>
          <w:u w:val="single" w:color="000000" w:themeColor="text1"/>
        </w:rPr>
        <w:t>Section 16</w:t>
      </w:r>
      <w:r>
        <w:rPr>
          <w:u w:val="single" w:color="000000" w:themeColor="text1"/>
        </w:rPr>
        <w:noBreakHyphen/>
        <w:t>19</w:t>
      </w:r>
      <w:r>
        <w:rPr>
          <w:u w:val="single" w:color="000000" w:themeColor="text1"/>
        </w:rPr>
        <w:noBreakHyphen/>
        <w:t>350.</w:t>
      </w:r>
      <w:r>
        <w:rPr>
          <w:u w:val="single" w:color="000000" w:themeColor="text1"/>
        </w:rPr>
        <w:tab/>
      </w:r>
      <w:r>
        <w:tab/>
      </w:r>
      <w:r>
        <w:rPr>
          <w:u w:val="single" w:color="000000" w:themeColor="text1"/>
        </w:rPr>
        <w:t>(A)</w:t>
      </w:r>
      <w:r>
        <w:rPr>
          <w:u w:color="000000" w:themeColor="text1"/>
        </w:rPr>
        <w:tab/>
      </w:r>
      <w:r>
        <w:rPr>
          <w:u w:val="single" w:color="000000" w:themeColor="text1"/>
        </w:rPr>
        <w:t>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Pr>
          <w:u w:val="single"/>
        </w:rPr>
        <w:t>(B)</w:t>
      </w:r>
      <w:r>
        <w:tab/>
      </w:r>
      <w:r>
        <w:rPr>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tab/>
      </w:r>
      <w:r>
        <w:rPr>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Amend the bill further, as and if amended, page 17, lines 27-35, by striking those lines in their entirety and inserting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tab/>
      </w:r>
      <w:r>
        <w:tab/>
      </w:r>
      <w:r>
        <w:tab/>
      </w:r>
      <w:r>
        <w:rPr>
          <w:u w:val="single" w:color="000000" w:themeColor="text1"/>
        </w:rPr>
        <w:t>Section 16</w:t>
      </w:r>
      <w:r>
        <w:rPr>
          <w:u w:val="single" w:color="000000" w:themeColor="text1"/>
        </w:rPr>
        <w:noBreakHyphen/>
        <w:t>19</w:t>
      </w:r>
      <w:r>
        <w:rPr>
          <w:u w:val="single" w:color="000000" w:themeColor="text1"/>
        </w:rPr>
        <w:noBreakHyphen/>
        <w:t>360.</w:t>
      </w:r>
      <w:r>
        <w:rPr>
          <w:u w:val="single" w:color="000000" w:themeColor="text1"/>
        </w:rPr>
        <w:tab/>
      </w:r>
      <w:r>
        <w:tab/>
      </w:r>
      <w:r>
        <w:rPr>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  This restriction does not apply to the promotion, sale, conduct, or operation of a raffle.</w:t>
      </w:r>
      <w:r>
        <w:tab/>
      </w:r>
      <w:r>
        <w:tab/>
      </w:r>
      <w:r>
        <w:tab/>
        <w: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Renumber sections to conform.</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title to conform.</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A Cost to the General Fund (See Below)</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3B63D1" w:rsidRDefault="0073366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EXPLANATION OF IMPACT: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4" w:name="i"/>
      <w:bookmarkEnd w:id="4"/>
      <w:r>
        <w:rPr>
          <w:u w:val="single"/>
        </w:rPr>
        <w:t>Department of Revenue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 xml:space="preserve">The department indicates this bill would create a recurring cost to the General Fund of the State of $29,400 ($21,000 salary, $5,250 employee benefits, and $3,150 other operating expenses) for one full-time registration clerk to process application forms for special limited charity fundraising events.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val="single"/>
        </w:rPr>
        <w:t>Judicial Department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department indicates this bill will have a minimal impact on the General Fund of the State which can be absorbed within the current level of funding.  The bill creates new offenses and penalties which may increase prosecutions.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val="single"/>
        </w:rPr>
        <w:t>Department of Corrections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 xml:space="preserve">The department indicates this bill will have a minimal impact on the General Fund of the State which can be absorbed within the current level of funding.  In FY 2008, the department received three offenders convicted of misdemeanors under current statutes for unlawful lotteries and gambling. The number of offenders being admitted to the department is expected to increase as the bill requires more severe penalties for subsequent offenses. </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3024"/>
        </w:tabs>
        <w:suppressAutoHyphens/>
        <w:jc w:val="both"/>
        <w:rPr>
          <w:rFonts w:eastAsia="Times New Roman"/>
        </w:rPr>
      </w:pPr>
      <w:r>
        <w:rPr>
          <w:rFonts w:eastAsia="Times New Roman"/>
        </w:rPr>
        <w:tab/>
      </w:r>
      <w:r>
        <w:rPr>
          <w:rFonts w:eastAsia="Times New Roman"/>
          <w:i/>
        </w:rPr>
        <w:t>Approved By:</w:t>
      </w:r>
    </w:p>
    <w:p w:rsidR="003B63D1" w:rsidRDefault="00733664">
      <w:pPr>
        <w:tabs>
          <w:tab w:val="left" w:pos="3024"/>
        </w:tabs>
        <w:suppressAutoHyphens/>
        <w:jc w:val="both"/>
        <w:rPr>
          <w:rFonts w:eastAsia="Times New Roman"/>
        </w:rPr>
      </w:pPr>
      <w:r>
        <w:rPr>
          <w:rFonts w:eastAsia="Times New Roman"/>
        </w:rPr>
        <w:tab/>
        <w:t>Harry Bell</w:t>
      </w:r>
    </w:p>
    <w:p w:rsidR="003B63D1" w:rsidRDefault="00733664">
      <w:pPr>
        <w:tabs>
          <w:tab w:val="left" w:pos="3024"/>
        </w:tabs>
        <w:suppressAutoHyphens/>
        <w:jc w:val="both"/>
        <w:rPr>
          <w:rFonts w:eastAsia="Times New Roman"/>
        </w:rPr>
      </w:pPr>
      <w:r>
        <w:rPr>
          <w:rFonts w:eastAsia="Times New Roman"/>
        </w:rPr>
        <w:tab/>
        <w:t>Office of State Budget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63D1">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color w:val="000000" w:themeColor="text1"/>
          <w:u w:color="000000" w:themeColor="text1"/>
        </w:rPr>
        <w:t>TO AMEND CHAPTER 19, TITLE 16 OF THE SOUTH CAROLINA CODE OF LAWS, 1976, RELATING TO GAMBLING AND LOTTERIES, SO AS TO AMEND EXISTING LAWS ON UNLAWFUL LOTTERIES AND GAMBLING BY ORGANIZING EXISTING LAWS INTO ARTICLE 1, AND IN ARTICLE 1 TO ADD DEFINITIONS; TO INCREASE AND MAKE UNIFORM PENALTIES FOR UNLAWFUL LOTTERIES AND GAMBLING; TO ALLOW SOCIAL GAMBLING AS A DEFENSE TO UNLAWFUL GAMBLING, AND TO CLARIFY THAT GAMES OF SKILL OR CHANCE IN WHICH NO BETTING OCCURS ARE NOT UNLAWFUL; BY ADDING ARTICLE 3, AND IN ARTICLE 3 TO ALLOW CHARITABLE AND NONPROFIT ORGANIZATIONS TO CONDUCT RAFFLES AND SPECIAL LIMITED CHARITY FUNDRAISING EVENTS; TO DEFINE THESE EVENTS; TO DEFINE THE TYPE OF ORGANIZATION ALLOWED TO CONDUCT THESE EVENTS; TO PROVIDE STANDARDS FOR THE MANAGEMENT AND CONDUCT OF THESE EVENTS; TO PROVIDE PENALTIES FOR VIOLATIONS; AND TO PROVIDE FOR THE MANNER IN WHICH THESE PROVISIONS SHALL TAKE EFFECT.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63D1" w:rsidRDefault="0073366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19, Title 16 of the 1976 Code is amended to read:</w:t>
      </w:r>
    </w:p>
    <w:p w:rsidR="003B63D1" w:rsidRDefault="003B63D1">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20.</w:t>
      </w:r>
      <w:r>
        <w:rPr>
          <w:strike/>
          <w:color w:val="000000" w:themeColor="text1"/>
          <w:u w:color="000000" w:themeColor="text1"/>
        </w:rPr>
        <w:tab/>
      </w:r>
      <w:r>
        <w:rPr>
          <w:strike/>
          <w:color w:val="000000" w:themeColor="text1"/>
          <w:u w:color="000000" w:themeColor="text1"/>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30.</w:t>
      </w:r>
      <w:r>
        <w:rPr>
          <w:strike/>
          <w:color w:val="000000" w:themeColor="text1"/>
          <w:u w:color="000000" w:themeColor="text1"/>
        </w:rPr>
        <w:tab/>
      </w:r>
      <w:r>
        <w:rPr>
          <w:strike/>
          <w:color w:val="000000" w:themeColor="text1"/>
          <w:u w:color="000000" w:themeColor="text1"/>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40.</w:t>
      </w:r>
      <w:r>
        <w:rPr>
          <w:strike/>
          <w:color w:val="000000" w:themeColor="text1"/>
          <w:u w:color="000000" w:themeColor="text1"/>
        </w:rPr>
        <w:tab/>
      </w:r>
      <w:r>
        <w:rPr>
          <w:strike/>
          <w:color w:val="000000" w:themeColor="text1"/>
          <w:u w:color="000000" w:themeColor="text1"/>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50.</w:t>
      </w:r>
      <w:r>
        <w:rPr>
          <w:strike/>
          <w:color w:val="000000" w:themeColor="text1"/>
          <w:u w:color="000000" w:themeColor="text1"/>
        </w:rPr>
        <w:tab/>
      </w:r>
      <w:r>
        <w:rPr>
          <w:strike/>
          <w:color w:val="000000" w:themeColor="text1"/>
          <w:u w:color="000000" w:themeColor="text1"/>
        </w:rPr>
        <w:tab/>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70.</w:t>
      </w:r>
      <w:r>
        <w:rPr>
          <w:strike/>
          <w:color w:val="000000" w:themeColor="text1"/>
          <w:u w:color="000000" w:themeColor="text1"/>
        </w:rPr>
        <w:tab/>
      </w:r>
      <w:r>
        <w:rPr>
          <w:strike/>
          <w:color w:val="000000" w:themeColor="text1"/>
          <w:u w:color="000000" w:themeColor="text1"/>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Pr>
          <w:color w:val="000000" w:themeColor="text1"/>
          <w:u w:color="000000" w:themeColor="text1"/>
        </w:rPr>
        <w: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80.</w:t>
      </w:r>
      <w:r>
        <w:rPr>
          <w:strike/>
          <w:color w:val="000000" w:themeColor="text1"/>
          <w:u w:color="000000" w:themeColor="text1"/>
        </w:rPr>
        <w:tab/>
      </w:r>
      <w:r>
        <w:rPr>
          <w:strike/>
          <w:color w:val="000000" w:themeColor="text1"/>
          <w:u w:color="000000" w:themeColor="text1"/>
        </w:rPr>
        <w:tab/>
        <w:t>All and every sum or sums of money staked, betted or pending on the event of any such game or games as aforesaid are hereby declared to be forfeited.</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90.</w:t>
      </w:r>
      <w:r>
        <w:rPr>
          <w:strike/>
          <w:color w:val="000000" w:themeColor="text1"/>
          <w:u w:color="000000" w:themeColor="text1"/>
        </w:rPr>
        <w:tab/>
      </w:r>
      <w:r>
        <w:rPr>
          <w:strike/>
          <w:color w:val="000000" w:themeColor="text1"/>
          <w:u w:color="000000" w:themeColor="text1"/>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100.</w:t>
      </w:r>
      <w:r>
        <w:rPr>
          <w:strike/>
          <w:color w:val="000000" w:themeColor="text1"/>
          <w:u w:color="000000" w:themeColor="text1"/>
        </w:rPr>
        <w:tab/>
      </w:r>
      <w:r>
        <w:rPr>
          <w:strike/>
          <w:color w:val="000000" w:themeColor="text1"/>
          <w:u w:color="000000" w:themeColor="text1"/>
        </w:rPr>
        <w:tab/>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110.</w:t>
      </w:r>
      <w:r>
        <w:rPr>
          <w:strike/>
          <w:color w:val="000000" w:themeColor="text1"/>
          <w:u w:color="000000" w:themeColor="text1"/>
        </w:rPr>
        <w:tab/>
      </w:r>
      <w:r>
        <w:rPr>
          <w:strike/>
          <w:color w:val="000000" w:themeColor="text1"/>
          <w:u w:color="000000" w:themeColor="text1"/>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Pr>
          <w:color w:val="000000" w:themeColor="text1"/>
          <w:u w:color="000000" w:themeColor="text1"/>
        </w:rPr>
        <w: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120.</w:t>
      </w:r>
      <w:r>
        <w:rPr>
          <w:strike/>
          <w:color w:val="000000" w:themeColor="text1"/>
          <w:u w:color="000000" w:themeColor="text1"/>
        </w:rPr>
        <w:tab/>
      </w:r>
      <w:r>
        <w:rPr>
          <w:strike/>
          <w:color w:val="000000" w:themeColor="text1"/>
          <w:u w:color="000000" w:themeColor="text1"/>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Pr>
          <w:color w:val="000000" w:themeColor="text1"/>
          <w:u w:color="000000" w:themeColor="text1"/>
        </w:rPr>
        <w:t xml:space="preserve"> </w:t>
      </w:r>
      <w:r>
        <w:rPr>
          <w:strike/>
          <w:color w:val="000000" w:themeColor="text1"/>
          <w:u w:color="000000" w:themeColor="text1"/>
        </w:rPr>
        <w:t>after conviction of the violator of the law destroy the same.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130.</w:t>
      </w:r>
      <w:r>
        <w:rPr>
          <w:strike/>
          <w:color w:val="000000" w:themeColor="text1"/>
          <w:u w:color="000000" w:themeColor="text1"/>
        </w:rPr>
        <w:tab/>
      </w:r>
      <w:r>
        <w:rPr>
          <w:strike/>
          <w:color w:val="000000" w:themeColor="text1"/>
          <w:u w:color="000000" w:themeColor="text1"/>
        </w:rPr>
        <w:tab/>
      </w:r>
      <w:r>
        <w:rPr>
          <w:strike/>
          <w:color w:val="000000" w:themeColor="text1"/>
          <w:u w:color="000000" w:themeColor="text1"/>
        </w:rPr>
        <w:tab/>
        <w:t xml:space="preserve">Any person within this State who: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(1)</w:t>
      </w:r>
      <w:r>
        <w:rPr>
          <w:strike/>
          <w:color w:val="000000" w:themeColor="text1"/>
          <w:u w:color="000000" w:themeColor="text1"/>
        </w:rPr>
        <w:tab/>
        <w:t xml:space="preserve">Engages in betting at any race track, pool selling or bookmaking, with or without writing, at any time or place;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(2)</w:t>
      </w:r>
      <w:r>
        <w:rPr>
          <w:strike/>
          <w:color w:val="000000" w:themeColor="text1"/>
          <w:u w:color="000000" w:themeColor="text1"/>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(3)</w:t>
      </w:r>
      <w:r>
        <w:rPr>
          <w:strike/>
          <w:color w:val="000000" w:themeColor="text1"/>
          <w:u w:color="000000" w:themeColor="text1"/>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(4)</w:t>
      </w:r>
      <w:r>
        <w:rPr>
          <w:strike/>
          <w:color w:val="000000" w:themeColor="text1"/>
          <w:u w:color="000000" w:themeColor="text1"/>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(5)</w:t>
      </w:r>
      <w:r>
        <w:rPr>
          <w:strike/>
          <w:color w:val="000000" w:themeColor="text1"/>
          <w:u w:color="000000" w:themeColor="text1"/>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(6)</w:t>
      </w:r>
      <w:r>
        <w:rPr>
          <w:strike/>
          <w:color w:val="000000" w:themeColor="text1"/>
          <w:u w:color="000000" w:themeColor="text1"/>
        </w:rPr>
        <w:tab/>
        <w:t xml:space="preserve">Aids, assists or abets in any manner in any of the aforesaid acts, which are hereby forbidden;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Shall be guilty of a misdemeanor and, upon conviction, shall be punished by a fine not exceeding one thousand dollars or imprisonment not exceeding six months, or both fine and imprisonment, in the discretion of the court.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140.</w:t>
      </w:r>
      <w:r>
        <w:rPr>
          <w:strike/>
          <w:color w:val="000000" w:themeColor="text1"/>
          <w:u w:color="000000" w:themeColor="text1"/>
        </w:rPr>
        <w:tab/>
      </w:r>
      <w:r>
        <w:rPr>
          <w:strike/>
          <w:color w:val="000000" w:themeColor="text1"/>
          <w:u w:color="000000" w:themeColor="text1"/>
        </w:rPr>
        <w:tab/>
        <w:t>The violation of any of the provisions of Section 16 19 130 shall be deemed a common nuisance.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150.</w:t>
      </w:r>
      <w:r>
        <w:rPr>
          <w:strike/>
          <w:color w:val="000000" w:themeColor="text1"/>
          <w:u w:color="000000" w:themeColor="text1"/>
        </w:rPr>
        <w:tab/>
      </w:r>
      <w:r>
        <w:rPr>
          <w:strike/>
          <w:color w:val="000000" w:themeColor="text1"/>
          <w:u w:color="000000" w:themeColor="text1"/>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16</w:t>
      </w:r>
      <w:r>
        <w:rPr>
          <w:strike/>
          <w:color w:val="000000" w:themeColor="text1"/>
          <w:u w:color="000000" w:themeColor="text1"/>
        </w:rPr>
        <w:noBreakHyphen/>
        <w:t>19</w:t>
      </w:r>
      <w:r>
        <w:rPr>
          <w:strike/>
          <w:color w:val="000000" w:themeColor="text1"/>
          <w:u w:color="000000" w:themeColor="text1"/>
        </w:rPr>
        <w:noBreakHyphen/>
        <w:t>160.</w:t>
      </w:r>
      <w:r>
        <w:rPr>
          <w:strike/>
          <w:color w:val="000000" w:themeColor="text1"/>
          <w:u w:color="000000" w:themeColor="text1"/>
        </w:rPr>
        <w:tab/>
      </w:r>
      <w:r>
        <w:rPr>
          <w:strike/>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color="000000" w:themeColor="text1"/>
        </w:rPr>
        <w:t>“</w:t>
      </w:r>
      <w:r>
        <w:rPr>
          <w:color w:val="000000" w:themeColor="text1"/>
          <w:u w:val="single" w:color="000000" w:themeColor="text1"/>
        </w:rPr>
        <w:t>Article 1</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Prohibition of Lotteries and Other Gambling</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100.</w:t>
      </w:r>
      <w:r>
        <w:rPr>
          <w:color w:val="000000" w:themeColor="text1"/>
          <w:u w:val="single" w:color="000000" w:themeColor="text1"/>
        </w:rPr>
        <w:tab/>
      </w:r>
      <w:r>
        <w:rPr>
          <w:color w:val="000000" w:themeColor="text1"/>
        </w:rPr>
        <w:tab/>
      </w:r>
      <w:r>
        <w:rPr>
          <w:color w:val="000000" w:themeColor="text1"/>
          <w:u w:val="single"/>
        </w:rPr>
        <w:t>F</w:t>
      </w:r>
      <w:r>
        <w:rPr>
          <w:color w:val="000000" w:themeColor="text1"/>
          <w:u w:val="single" w:color="000000" w:themeColor="text1"/>
        </w:rPr>
        <w:t>or purposes of this chapter:</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‘Contest of chance’ means a contest, game, gaming scheme, or gaming device in which the outcome depends in a material degree upon an element of chance, notwithstanding that skill of the contestants may also be a factor.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‘Gamble’, ‘gambling activity’, or ‘gambling purpose’ means a person stakes or risks something of value upon the outcome of a contest of chance or a future contingent event not under the person’s control or influence, based upon an agreement or understanding that the player will receive something of value in the event of a certain outcome.  Gambling, gambling activity, or gambling purpose does not include:</w:t>
      </w:r>
    </w:p>
    <w:p w:rsidR="003B63D1" w:rsidRDefault="00733664">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(a)</w:t>
      </w:r>
      <w:r>
        <w:rPr>
          <w:color w:val="000000" w:themeColor="text1"/>
        </w:rPr>
        <w:tab/>
      </w:r>
      <w:r>
        <w:rPr>
          <w:color w:val="000000" w:themeColor="text1"/>
          <w:u w:val="single" w:color="000000" w:themeColor="text1"/>
        </w:rPr>
        <w:t xml:space="preserve"> bona fide contests of skill, speed, strength, or endurance in which awards are made only to entrants or the owners of entries;</w:t>
      </w:r>
    </w:p>
    <w:p w:rsidR="003B63D1" w:rsidRDefault="00733664">
      <w:pPr>
        <w:tabs>
          <w:tab w:val="left" w:pos="0"/>
          <w:tab w:val="left" w:pos="45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r>
      <w:r>
        <w:rPr>
          <w:color w:val="000000" w:themeColor="text1"/>
          <w:u w:val="single" w:color="000000" w:themeColor="text1"/>
        </w:rPr>
        <w:t xml:space="preserve"> bona fide business transactions that are valid under the law of contracts;</w:t>
      </w:r>
    </w:p>
    <w:p w:rsidR="003B63D1" w:rsidRDefault="00733664">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games of skill or chance, played between live individuals, where machine or devices are not used or operated, there is no betting of something of value, and there are no awards for cash, prizes, or additional play; or</w:t>
      </w:r>
    </w:p>
    <w:p w:rsidR="003B63D1" w:rsidRDefault="00733664">
      <w:pPr>
        <w:tabs>
          <w:tab w:val="left" w:pos="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(d)</w:t>
      </w:r>
      <w:r>
        <w:rPr>
          <w:color w:val="000000" w:themeColor="text1"/>
        </w:rPr>
        <w:tab/>
      </w:r>
      <w:r>
        <w:rPr>
          <w:color w:val="000000" w:themeColor="text1"/>
          <w:u w:val="single" w:color="000000" w:themeColor="text1"/>
        </w:rPr>
        <w:t xml:space="preserve"> other acts now or hereafter expressly authorized by law.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‘Gambling tables’ means a gaming table that is used or usable in the playing phases of any gambling activity and includes, but is not limited to, ones commonly called a roulette table, a roley poley table, a rouge et noir table, a faro bank, or other table or bank of the same or similar kind labeled under any denomination.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‘Gambling place’ means a public or private place, building, establishment, boat, or location, in or on a street, highway, open wood, race field, open place, or water within the jurisdiction of the state, which is used for gambling activities or gambling purposes.  This does not apply to gambling vessels authorized pursuant to Chapter 11, Title 3.</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‘Lottery’ means an unlawful gambling scheme in which there exists: (1) the giving of a prize or something of value, (2) by a method involving chance, (3) for a consideration paid by the player, contestant, or participant.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‘operated,’ or ‘operating’ means the direction, supervision, management, operation, control, conducting, or guidance of activity.</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‘Person’ means a natural person, partnership, association, company, corporation, or organization or a manager, agent, servant, officer, or employee thereof.</w:t>
      </w:r>
    </w:p>
    <w:p w:rsidR="003B63D1" w:rsidRDefault="00733664">
      <w:pPr>
        <w:tabs>
          <w:tab w:val="left" w:pos="216"/>
          <w:tab w:val="left" w:pos="540"/>
          <w:tab w:val="left" w:pos="72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‘Social game’ or ‘social gambling’ means gambling by live persons in a private place, used primarily as a residence, where no house player, house bank, or house odds exist and where there is no house income from the operation of the game.</w:t>
      </w:r>
    </w:p>
    <w:p w:rsidR="003B63D1" w:rsidRDefault="00733664">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110.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lottery or raffle of any type whatsoever is unlawful unless it is authorized by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Chapter 150, Title 59 of the South Carolina Code of Laws;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Article 3, Chapter 19, Title 16 of the South Carolina Code of Laws.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val="single" w:color="000000" w:themeColor="text1"/>
        </w:rPr>
        <w:t>The penalties for operating an unlawful lottery or raffle are provided herein in this chapter.  Each violation is a separate offense.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120.</w:t>
      </w:r>
      <w:r>
        <w:rPr>
          <w:color w:val="000000" w:themeColor="text1"/>
          <w:u w:val="single" w:color="000000" w:themeColor="text1"/>
        </w:rPr>
        <w:tab/>
      </w:r>
      <w:r>
        <w:rPr>
          <w:color w:val="000000" w:themeColor="text1"/>
        </w:rPr>
        <w:tab/>
      </w:r>
      <w:r>
        <w:rPr>
          <w:color w:val="000000" w:themeColor="text1"/>
          <w:u w:val="single" w:color="000000" w:themeColor="text1"/>
        </w:rPr>
        <w:t>A person who sets up, operates, or promotes an unlawful lottery, electronically or otherwise, is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130.</w:t>
      </w:r>
      <w:r>
        <w:rPr>
          <w:color w:val="000000" w:themeColor="text1"/>
          <w:u w:val="single" w:color="000000" w:themeColor="text1"/>
        </w:rPr>
        <w:tab/>
      </w:r>
      <w:r>
        <w:rPr>
          <w:color w:val="000000" w:themeColor="text1"/>
        </w:rPr>
        <w:tab/>
      </w:r>
      <w:r>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scheme or proposal that is an unlawful lottery is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140.</w:t>
      </w:r>
      <w:r>
        <w:rPr>
          <w:color w:val="000000" w:themeColor="text1"/>
          <w:u w:val="single" w:color="000000" w:themeColor="text1"/>
        </w:rPr>
        <w:tab/>
      </w:r>
      <w:r>
        <w:rPr>
          <w:color w:val="000000" w:themeColor="text1"/>
        </w:rPr>
        <w:tab/>
      </w:r>
      <w:r>
        <w:rPr>
          <w:color w:val="000000" w:themeColor="text1"/>
          <w:u w:val="single" w:color="000000" w:themeColor="text1"/>
        </w:rPr>
        <w:t>A person who knowingly participates in, pays something of value or other consideration, or contributes in any way to an unlawful lottery is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150.</w:t>
      </w:r>
      <w:r>
        <w:rPr>
          <w:color w:val="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person who sells, offers to sell, opens, or keeps an office for the sale of tickets to an unlawful lottery is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 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Nothing in this section shall be construed as preventing the sale of lottery tickets or shares under the authority of the South Carolina Education Lottery Corporation, or the sale of tickets, shares, chances, or similar records for a charitable event pursuant to the provisions of Article 3, Chapter 19, Title 16.</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160.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gamble at a gambling place with any of the following: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gambling machine or device licensed pursuant to Section 12-21-2720 and used for gambling purposes.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five hundred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one thousand dollars or imprisoned for not more than one year,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five thousand dollars or imprisoned for not more than three years,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Social gambling is an affirmative defense to the provisions of this section.</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Section 16-19-170.</w:t>
      </w:r>
      <w:r>
        <w:rPr>
          <w:color w:val="000000" w:themeColor="text1"/>
        </w:rPr>
        <w:tab/>
      </w:r>
      <w:r>
        <w:rPr>
          <w:color w:val="000000" w:themeColor="text1"/>
          <w:u w:color="000000" w:themeColor="text1"/>
        </w:rPr>
        <w:tab/>
      </w:r>
      <w:r>
        <w:rPr>
          <w:color w:val="000000" w:themeColor="text1"/>
          <w:u w:val="single" w:color="000000" w:themeColor="text1"/>
        </w:rPr>
        <w:t>It is unlawful for a person to place bets, or to bet on the side or on the play of anyone who plays for gambling purposes pursuant to the provisions of this section.  A person guilty of violating this subsection shall, upon conviction: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Section 16-19-180.</w:t>
      </w:r>
      <w:r>
        <w:rPr>
          <w:color w:val="000000" w:themeColor="text1"/>
        </w:rPr>
        <w:tab/>
      </w:r>
      <w:r>
        <w:rPr>
          <w:color w:val="000000" w:themeColor="text1"/>
          <w:u w:color="000000" w:themeColor="text1"/>
        </w:rPr>
        <w:tab/>
      </w:r>
      <w:r>
        <w:rPr>
          <w:color w:val="000000" w:themeColor="text1"/>
          <w:u w:val="single" w:color="000000" w:themeColor="text1"/>
        </w:rPr>
        <w:t>It is unlawful for a person to own, operate, or use a gambling place.  A person guilty of violating this subsection shall, upon conviction: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190.</w:t>
      </w:r>
      <w:r>
        <w:rPr>
          <w:color w:val="000000" w:themeColor="text1"/>
          <w:u w:val="single" w:color="000000" w:themeColor="text1"/>
        </w:rPr>
        <w:tab/>
      </w:r>
      <w:r>
        <w:rPr>
          <w:color w:val="000000" w:themeColor="text1"/>
        </w:rPr>
        <w:tab/>
      </w:r>
      <w:r>
        <w:rPr>
          <w:color w:val="000000" w:themeColor="text1"/>
          <w:u w:val="single" w:color="000000" w:themeColor="text1"/>
        </w:rPr>
        <w:t>It is unlawful for a person to set up, promote, operate, or use a gaming table or a gambling device for gambling purposes, and shall, upon conviction, be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(1</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200.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for a person to, electronically or in person, do any of the following: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engage in betting at a race track, pool selling, or bookmaking, with or without writing, at any time or place;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pools;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record or register bets or wagers, or sell pools, or make books, with or without writing, upon the result of a:</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trial or contest of skill, speed or power of endurance of man or animal;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political nomination, appointment, or election 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lot, chance, casualty, unknown or contingent event whatsoever;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pools upon any such result;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pools, or becomes the custodian or depository for gain, hire, or reward of any money, property or something of value staked, wagered or pledged or to be wagered or pledged upon any such result; 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aid, assist, or abet in any manner in any of the aforesaid acts.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210.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guilty of a violation of this section shall, upon conviction, be found guilty of:</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upon conviction, shall be fined not more than one thousand dollars or imprisoned for not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upon conviction, shall be fined not more  than three thousand dollars or imprisoned for not more than one year,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upon conviction, shall be fined not more than ten thousand dollars or imprisoned for not more than five years,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220.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violates this section shall, upon conviction: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230.</w:t>
      </w:r>
      <w:r>
        <w:rPr>
          <w:color w:val="000000" w:themeColor="text1"/>
        </w:rPr>
        <w:tab/>
      </w:r>
      <w:r>
        <w:rPr>
          <w:color w:val="000000" w:themeColor="text1"/>
        </w:rPr>
        <w:tab/>
      </w:r>
      <w:r>
        <w:rPr>
          <w:color w:val="000000" w:themeColor="text1"/>
          <w:u w:val="single" w:color="000000" w:themeColor="text1"/>
        </w:rPr>
        <w:t>Each and every sum or sums of money or something of value staked, betted, or pending on the event of any action or activity described as unlawful in this chapter are forfeited.</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240.</w:t>
      </w:r>
      <w:r>
        <w:rPr>
          <w:color w:val="000000" w:themeColor="text1"/>
          <w:u w:val="single" w:color="000000" w:themeColor="text1"/>
        </w:rPr>
        <w:tab/>
      </w:r>
      <w:r>
        <w:rPr>
          <w:color w:val="000000" w:themeColor="text1"/>
        </w:rPr>
        <w:tab/>
      </w:r>
      <w:r>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250.</w:t>
      </w:r>
      <w:r>
        <w:rPr>
          <w:color w:val="000000" w:themeColor="text1"/>
          <w:u w:val="single" w:color="000000" w:themeColor="text1"/>
        </w:rPr>
        <w:tab/>
      </w:r>
      <w:r>
        <w:rPr>
          <w:color w:val="000000" w:themeColor="text1"/>
        </w:rPr>
        <w:tab/>
      </w:r>
      <w:r>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3</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Charitable raffles and gaming</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300.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It is the intention of the General Assembly that only tax</w:t>
      </w:r>
      <w:r>
        <w:rPr>
          <w:color w:val="000000" w:themeColor="text1"/>
          <w:u w:val="single" w:color="000000" w:themeColor="text1"/>
        </w:rPr>
        <w:noBreakHyphen/>
        <w:t>exempt religious, fraternal, and civic organizations, schools, or other nonprofit groups shall be allowed to operate raffles or special limited charity fundraising events.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For purposes of this article: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‘Adjusted gross receipts’ mean gross receipts less all cash prizes and the amount paid for merchandise prizes purchased.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‘Charitable gaming supplies and equipment’ means any material, device, apparatus, or paraphernalia customarily used in the conduct of charitable gaming, including bingo cards and paper, charity game tickets, and other apparatus or paraphernalia used in 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Pr>
          <w:color w:val="000000" w:themeColor="text1"/>
          <w:u w:val="single" w:color="000000" w:themeColor="text1"/>
        </w:rPr>
        <w:t>‘Charitable organization’ means a nonprofit entity organized for charitable, religious, educational, literary, civic, fraternal, or patriotic purposes.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‘Door prize’ or ‘prize’ means a prize awarded to a person based solely upon the person’s attendance at an event or the payment of something of value for a ticket to attend an event.  Cash prizes for either raffles or special limited charity fundraising events must be limited to no more than five thousand dollars.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‘Gross receipts’ mean all moneys collected or received from the conduct of charitable gaming.</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‘Net receipts’ mean adjusted gross receipts less all expenses, charges, fees, and deductions authorized under this chapter.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Pr>
          <w:color w:val="000000" w:themeColor="text1"/>
          <w:u w:val="single" w:color="000000" w:themeColor="text1"/>
        </w:rPr>
        <w:t>‘Operate’, ‘operated’, or ‘operating’ means the conduct, direction, supervision, management, operation, control, or guidance or activity.</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‘Person’ means a natural person, partnership, association, company, corporation, or organization, or a manager, agent, servant, officer, or employee thereof.</w:t>
      </w:r>
    </w:p>
    <w:p w:rsidR="003B63D1" w:rsidRDefault="00733664">
      <w:pPr>
        <w:tabs>
          <w:tab w:val="left" w:pos="216"/>
          <w:tab w:val="left" w:pos="432"/>
          <w:tab w:val="left" w:pos="648"/>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‘Raffle’ means a game of chance in which a participant is required to pay something of value for a ticket for a chance to win a prize, with the winner to be determined by a random drawing.</w:t>
      </w:r>
    </w:p>
    <w:p w:rsidR="003B63D1" w:rsidRDefault="00733664">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(10)</w:t>
      </w:r>
      <w:r>
        <w:rPr>
          <w:color w:val="000000" w:themeColor="text1"/>
          <w:u w:color="000000" w:themeColor="text1"/>
        </w:rPr>
        <w:tab/>
      </w:r>
      <w:r>
        <w:rPr>
          <w:color w:val="000000" w:themeColor="text1"/>
          <w:u w:val="single" w:color="000000" w:themeColor="text1"/>
        </w:rPr>
        <w:t>‘Special limited charity game’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3B63D1" w:rsidRDefault="0073366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(11)</w:t>
      </w:r>
      <w:r>
        <w:rPr>
          <w:color w:val="000000" w:themeColor="text1"/>
          <w:u w:color="000000" w:themeColor="text1"/>
        </w:rPr>
        <w:tab/>
      </w:r>
      <w:r>
        <w:rPr>
          <w:color w:val="000000" w:themeColor="text1"/>
          <w:u w:val="single" w:color="000000" w:themeColor="text1"/>
        </w:rPr>
        <w:t>‘Special limited charity fundraising event’ means any type of charity fundraising event, commonly known as and operated as a ‘casino night’, ‘Las Vegas night’, or ‘Monte Carlo night’, at which the predominant number or types of games offered for play are special limited charity games.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(12)</w:t>
      </w:r>
      <w:r>
        <w:rPr>
          <w:color w:val="000000" w:themeColor="text1"/>
          <w:u w:color="000000" w:themeColor="text1"/>
        </w:rPr>
        <w:tab/>
      </w:r>
      <w:r>
        <w:rPr>
          <w:color w:val="000000" w:themeColor="text1"/>
          <w:u w:val="single" w:color="000000" w:themeColor="text1"/>
        </w:rPr>
        <w:t>‘Year’ means calendar year.</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310.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charitable organization is allowed to conduct raffles or special limited charity fundraising events in accordance with the provisions of this article if the charitable organization is recognized by the South Carolina Department of Revenue and the United States Internal Revenue Service as exempt from federal and state income taxation, and has been in continuous existence and operation in the state for a period of not less than one year from the date of the first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Charitable organizations may advertise raffles or special limited charity fundraising events.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Charitable organizations are limited to four raffles per year, and two special limited charity fundraising events per year.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320.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No less than ninety percent of the net receipts of a raffle or special limited charity fundraising event authorized pursuant to this article must be used for the charitable, religious, or philanthropic purposes of the charitable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val="single" w:color="000000" w:themeColor="text1"/>
        </w:rPr>
        <w:t>No charitable organization shall enter into a contract with any person to have that person operate raffles or special limited charity fundraising events on behalf of the charitable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 charitable organization shall not lend its name nor allow its identity to be used by any person in the operating or advertising of a raffle or special limited charity fundraising event in which the charitable organization is not directly and solely operating the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No person shall pay consulting fees or something of value to any person for any services performed in relation to the operation or conduct of a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No net receipts from raffles or special limited charity fundraising events shall be used to compensate in any manner any person who works for or is in any way affiliated with the authorized charitable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w:t>
      </w:r>
      <w:r>
        <w:rPr>
          <w:color w:val="000000" w:themeColor="text1"/>
          <w:u w:color="000000" w:themeColor="text1"/>
        </w:rPr>
        <w:tab/>
      </w:r>
      <w:r>
        <w:rPr>
          <w:color w:val="000000" w:themeColor="text1"/>
          <w:u w:val="single" w:color="000000" w:themeColor="text1"/>
        </w:rPr>
        <w:t>A raffle or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raffle or special limited charity fundraising event is not compensation.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A charitable organization shall not conduct raffles or special limited charity fundraising events through any agent or third party.  Rental of raffle or special limited charity game equipment is not considered conducting a raffle or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The provisions of this article are not intended and shall not be construed to allow the play of raffles or special limited charity games through any electronic device or machine.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330.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Expenses that are reasonable and necessary to raffles or special limited charity fundraising events as authorized by this article are allowable and include expenses incurred for:</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advertising, including the cost of printing raffle and special limited charity fundraising event gift certificates;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food and beverage costs;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rental of equipment for raffles or special limited charity fundraising games;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repairs to premises and equipment;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Pr>
          <w:color w:val="000000" w:themeColor="text1"/>
          <w:u w:val="single" w:color="000000" w:themeColor="text1"/>
        </w:rPr>
        <w:t>door prizes or prizes;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stated rental or insurance expenses;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Pr>
          <w:color w:val="000000" w:themeColor="text1"/>
          <w:u w:val="single" w:color="000000" w:themeColor="text1"/>
        </w:rPr>
        <w:t>bookkeeping or accounting services.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No person shall be compensated for operating, promoting, conducting, or otherwise administering a raffle or casino night event.  Any such compensation is prohibited under this article and is not an allowable expense.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340.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A charitable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charitable organization must apply to the Department of Revenue for a special limited charity fundraising event on a form prescribed and furnished by the Department of Revenue, which shall require:</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the name and address of each of the applicant’s officers or directors;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Pr>
          <w:color w:val="000000" w:themeColor="text1"/>
          <w:u w:val="single"/>
        </w:rPr>
        <w:t>the name and address of the member of the charitable organization who is in charge of the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special limited charity fundraising event;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rPr>
        <w:tab/>
      </w:r>
      <w:r>
        <w:rPr>
          <w:color w:val="000000" w:themeColor="text1"/>
          <w:u w:val="single" w:color="000000" w:themeColor="text1"/>
        </w:rPr>
        <w:t>other relevant information requested by the department;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fee of thirty dollars must accompany the application;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 merchandize prize shall be purchased or offered that exceeds the gross receipts collected by the applicant, and no cash prize shall exceed five thousand dollars;</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no less than ninety per cent of the net receipts must be applied to the charitable, religious, fraternal, or nonprofit purposes of the applicant, and all of the restrictions in this chapter shall apply to any expenses, charges, fees or deductions to manufacturers, distributors, or persons conducting the special limited charity fundraising event; and</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350.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Each charitable organization conducting a raffle or special limited charity fundraising event shall keep records of its gross receipts, expenses, adjusted gross receipts, and net receipts for each single raffle or special limited charity fundraising event at which winning chances are determined. All deductions from gross receipts for each single raffle or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Gross receipts from the operation of raffles or special limited charity fundraising events shall be segregated from other revenues of the organization, including bingo gross receipts, if bingo games are also conducted by the same charitable organization pursuant to licenses issued by the South Carolina Department of Revenue, and placed in a separate account.  Each organization shall maintain separate records of its raffles and special limited charity fundraising events.  The person who accounts for gross receipts, expenses, adjusted gross receipts, and net receipts from the operation of raffles or special limited charity fundraising events shall not be the same person who accounts for other revenues of the organization.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color="000000" w:themeColor="text1"/>
        </w:rPr>
        <w:t>Each charitable organization conducting raffles or special limited charity fundraising events shall report promptly after the conclusion of each raffle or special limited charity fundraising event to its membership, its gross receipts, expenses and net proceeds from raffles and special limited charity fundraising events and the distribution of net proceeds itemized as required in this section.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(D)</w:t>
      </w:r>
      <w:r>
        <w:rPr>
          <w:color w:val="000000" w:themeColor="text1"/>
        </w:rPr>
        <w:tab/>
      </w:r>
      <w:r>
        <w:rPr>
          <w:color w:val="000000" w:themeColor="text1"/>
          <w:u w:val="single" w:color="000000" w:themeColor="text1"/>
        </w:rPr>
        <w:t>Records required by this section shall be preserved for three years, and organizations shall make available their records relating to operation of raffles and special limited charity fundraising events for public inspection at reasonable times and places.</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360.</w:t>
      </w:r>
      <w:r>
        <w:rPr>
          <w:color w:val="000000" w:themeColor="text1"/>
          <w:u w:val="single" w:color="000000" w:themeColor="text1"/>
        </w:rPr>
        <w:tab/>
      </w:r>
      <w:r>
        <w:rPr>
          <w:color w:val="000000" w:themeColor="text1"/>
        </w:rPr>
        <w:tab/>
      </w:r>
      <w:r>
        <w:rPr>
          <w:color w:val="000000" w:themeColor="text1"/>
          <w:u w:val="single" w:color="000000" w:themeColor="text1"/>
        </w:rPr>
        <w:t>No person under the age of eighteen years may promote, conduct, operate, or work at a special limited charity fundraising 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Section 16</w:t>
      </w:r>
      <w:r>
        <w:rPr>
          <w:color w:val="000000" w:themeColor="text1"/>
          <w:u w:val="single" w:color="000000" w:themeColor="text1"/>
        </w:rPr>
        <w:noBreakHyphen/>
        <w:t>19</w:t>
      </w:r>
      <w:r>
        <w:rPr>
          <w:color w:val="000000" w:themeColor="text1"/>
          <w:u w:val="single" w:color="000000" w:themeColor="text1"/>
        </w:rPr>
        <w:noBreakHyphen/>
        <w:t>370.</w:t>
      </w:r>
      <w:r>
        <w:rPr>
          <w:color w:val="000000" w:themeColor="text1"/>
          <w:u w:val="single" w:color="000000" w:themeColor="text1"/>
        </w:rPr>
        <w:tab/>
      </w:r>
      <w:r>
        <w:rPr>
          <w:color w:val="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Each of the officers or directors of a charitable organization who violate the provisions of this article 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a special limited charity fundraising event until not less than twenty</w:t>
      </w:r>
      <w:r>
        <w:rPr>
          <w:color w:val="000000" w:themeColor="text1"/>
          <w:u w:val="single" w:color="000000" w:themeColor="text1"/>
        </w:rPr>
        <w:noBreakHyphen/>
        <w:t>four months after the date of the conviction.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Other persons who violate the provisions of this article shall be guilty of, upon conviction: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for a first offense, a misdemeanor and shall be fined not more than one thousand dollars or imprisoned not more than thirty days in jail,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for a second offense, a misdemeanor and shall be fined not more than three thousand dollars or imprisoned not more than one year in jail, or both;</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a third or subsequent offense, a felony and shall be fined be not more than then thousand dollars or imprisoned for not more than five years in jail, or both.</w:t>
      </w:r>
      <w:r>
        <w:rPr>
          <w:color w:val="000000" w:themeColor="text1"/>
          <w:u w:color="000000" w:themeColor="text1"/>
        </w:rPr>
        <w:t>”</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63D1" w:rsidRDefault="003B63D1">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63D1" w:rsidRDefault="00733664">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becomes effective upon approval by the Governor and ninety days after ratification of an amendment to Section 7, Article XVII of the Constitution of this State allowing its terms as proposed to the qualified electors of this State at the 2010 General Election.</w:t>
      </w:r>
    </w:p>
    <w:p w:rsidR="003B63D1" w:rsidRDefault="0073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63D1" w:rsidRDefault="003B6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B63D1" w:rsidSect="003B63D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3D1" w:rsidRDefault="00733664">
      <w:r>
        <w:separator/>
      </w:r>
    </w:p>
  </w:endnote>
  <w:endnote w:type="continuationSeparator" w:id="0">
    <w:p w:rsidR="003B63D1" w:rsidRDefault="00733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979425-37E4-4FF8-84A9-C94C3FB77F43}"/>
    <w:embedBold r:id="rId2" w:fontKey="{4CA7C4B1-B1B8-46EB-878E-82E0B45BE8ED}"/>
    <w:embedItalic r:id="rId3" w:fontKey="{C27F5CB6-578D-4B27-B001-C578DAED1373}"/>
  </w:font>
  <w:font w:name="Calibri">
    <w:panose1 w:val="020F0502020204030204"/>
    <w:charset w:val="00"/>
    <w:family w:val="swiss"/>
    <w:pitch w:val="variable"/>
    <w:sig w:usb0="E10002FF" w:usb1="4000ACFF" w:usb2="00000009" w:usb3="00000000" w:csb0="0000019F" w:csb1="00000000"/>
    <w:embedRegular r:id="rId4" w:fontKey="{BAFD8DB1-4C66-4F65-ABEF-EC62B352C4F6}"/>
    <w:embedBold r:id="rId5" w:fontKey="{CD98E973-D8CE-4741-B904-5E5D3B70E47C}"/>
  </w:font>
  <w:font w:name="Cambria">
    <w:panose1 w:val="02040503050406030204"/>
    <w:charset w:val="00"/>
    <w:family w:val="roman"/>
    <w:pitch w:val="variable"/>
    <w:sig w:usb0="E00002FF" w:usb1="400004FF" w:usb2="00000000" w:usb3="00000000" w:csb0="0000019F" w:csb1="00000000"/>
    <w:embedRegular r:id="rId6" w:fontKey="{A7BBEBCA-069A-4C7A-8267-2FAE90C693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D1" w:rsidRDefault="00733664">
    <w:pPr>
      <w:pStyle w:val="Footer"/>
      <w:tabs>
        <w:tab w:val="clear" w:pos="4680"/>
        <w:tab w:val="clear" w:pos="9360"/>
        <w:tab w:val="center" w:pos="2995"/>
      </w:tabs>
      <w:spacing w:before="120"/>
    </w:pPr>
    <w:r>
      <w:t>[628-</w:t>
    </w:r>
    <w:r w:rsidR="00235F91">
      <w:fldChar w:fldCharType="begin"/>
    </w:r>
    <w:r w:rsidR="00235F91">
      <w:instrText xml:space="preserve"> PAGE  \* MERGEFORMAT </w:instrText>
    </w:r>
    <w:r w:rsidR="00235F91">
      <w:fldChar w:fldCharType="separate"/>
    </w:r>
    <w:r w:rsidR="00235F91">
      <w:rPr>
        <w:noProof/>
      </w:rPr>
      <w:t>1</w:t>
    </w:r>
    <w:r w:rsidR="00235F9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D1" w:rsidRDefault="00733664">
    <w:pPr>
      <w:pStyle w:val="Footer"/>
      <w:tabs>
        <w:tab w:val="clear" w:pos="4680"/>
        <w:tab w:val="clear" w:pos="9360"/>
        <w:tab w:val="center" w:pos="2995"/>
      </w:tabs>
      <w:spacing w:before="120"/>
    </w:pPr>
    <w:r>
      <w:t>[628]</w:t>
    </w:r>
    <w:r>
      <w:tab/>
    </w:r>
    <w:r w:rsidR="00235F91">
      <w:fldChar w:fldCharType="begin"/>
    </w:r>
    <w:r w:rsidR="00235F91">
      <w:instrText xml:space="preserve"> PAGE  \* MERGEFORMAT </w:instrText>
    </w:r>
    <w:r w:rsidR="00235F91">
      <w:fldChar w:fldCharType="separate"/>
    </w:r>
    <w:r>
      <w:rPr>
        <w:noProof/>
      </w:rPr>
      <w:t>19</w:t>
    </w:r>
    <w:r w:rsidR="00235F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3D1" w:rsidRDefault="00733664">
      <w:r>
        <w:separator/>
      </w:r>
    </w:p>
  </w:footnote>
  <w:footnote w:type="continuationSeparator" w:id="0">
    <w:p w:rsidR="003B63D1" w:rsidRDefault="00733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71.KW"/>
    <w:docVar w:name="CoverAttorneyInitials" w:val="KW"/>
    <w:docVar w:name="CoverAttorneyLastName" w:val="Wells"/>
    <w:docVar w:name="CoverBillType" w:val="b"/>
    <w:docVar w:name="DraftFileName" w:val="JUD0071.KW.DOCX"/>
    <w:docVar w:name="DraftStenoName" w:val="Craft"/>
    <w:docVar w:name="dvBillNumber" w:val="628"/>
    <w:docVar w:name="dvBillNumberPrefix" w:val="S. "/>
    <w:docVar w:name="dvOriginalBody" w:val="Senate"/>
    <w:docVar w:name="fulldraftpath" w:val="L:\S-JUD\BILLS\McConnell\JUD0071.KW.DOCX"/>
    <w:docVar w:name="NameofBody" w:val="S"/>
    <w:docVar w:name="SenatorFolderName" w:val="McConnell"/>
    <w:docVar w:name="VGROUP2" w:val="S-JUD"/>
  </w:docVars>
  <w:rsids>
    <w:rsidRoot w:val="003B63D1"/>
    <w:rsid w:val="001930E7"/>
    <w:rsid w:val="00235F91"/>
    <w:rsid w:val="003B63D1"/>
    <w:rsid w:val="003E48CC"/>
    <w:rsid w:val="006951D7"/>
    <w:rsid w:val="00733664"/>
    <w:rsid w:val="007D6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FEB5461F-564D-4930-B311-73CFFC902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B63D1"/>
    <w:pPr>
      <w:tabs>
        <w:tab w:val="center" w:pos="4680"/>
        <w:tab w:val="right" w:pos="9360"/>
      </w:tabs>
    </w:pPr>
  </w:style>
  <w:style w:type="character" w:customStyle="1" w:styleId="FooterChar">
    <w:name w:val="Footer Char"/>
    <w:basedOn w:val="DefaultParagraphFont"/>
    <w:link w:val="Footer"/>
    <w:uiPriority w:val="99"/>
    <w:semiHidden/>
    <w:rsid w:val="003B63D1"/>
  </w:style>
  <w:style w:type="character" w:styleId="PageNumber">
    <w:name w:val="page number"/>
    <w:basedOn w:val="DefaultParagraphFont"/>
    <w:uiPriority w:val="99"/>
    <w:semiHidden/>
    <w:unhideWhenUsed/>
    <w:rsid w:val="003B63D1"/>
  </w:style>
  <w:style w:type="character" w:styleId="LineNumber">
    <w:name w:val="line number"/>
    <w:basedOn w:val="DefaultParagraphFont"/>
    <w:uiPriority w:val="99"/>
    <w:semiHidden/>
    <w:unhideWhenUsed/>
    <w:rsid w:val="003B63D1"/>
  </w:style>
  <w:style w:type="paragraph" w:styleId="Header">
    <w:name w:val="header"/>
    <w:basedOn w:val="Normal"/>
    <w:link w:val="HeaderChar"/>
    <w:uiPriority w:val="99"/>
    <w:semiHidden/>
    <w:unhideWhenUsed/>
    <w:rsid w:val="003B63D1"/>
    <w:pPr>
      <w:tabs>
        <w:tab w:val="center" w:pos="4680"/>
        <w:tab w:val="right" w:pos="9360"/>
      </w:tabs>
    </w:pPr>
  </w:style>
  <w:style w:type="character" w:customStyle="1" w:styleId="HeaderChar">
    <w:name w:val="Header Char"/>
    <w:basedOn w:val="DefaultParagraphFont"/>
    <w:link w:val="Header"/>
    <w:uiPriority w:val="99"/>
    <w:semiHidden/>
    <w:rsid w:val="003B63D1"/>
  </w:style>
  <w:style w:type="paragraph" w:customStyle="1" w:styleId="BillDots">
    <w:name w:val="BillDots"/>
    <w:basedOn w:val="Normal"/>
    <w:qFormat/>
    <w:rsid w:val="003B63D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B63D1"/>
    <w:pPr>
      <w:tabs>
        <w:tab w:val="right" w:pos="5904"/>
      </w:tabs>
    </w:pPr>
  </w:style>
  <w:style w:type="character" w:styleId="Hyperlink">
    <w:name w:val="Hyperlink"/>
    <w:basedOn w:val="DefaultParagraphFont"/>
    <w:uiPriority w:val="99"/>
    <w:unhideWhenUsed/>
    <w:rsid w:val="003B63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3-26-09.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26-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628_20090513.docx" TargetMode="External"/><Relationship Id="rId4" Type="http://schemas.openxmlformats.org/officeDocument/2006/relationships/footnotes" Target="footnotes.xml"/><Relationship Id="rId9" Type="http://schemas.openxmlformats.org/officeDocument/2006/relationships/hyperlink" Target="file:///p:\pprever\2009-10\628_200903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8826</Words>
  <Characters>45007</Characters>
  <Application>Microsoft Office Word</Application>
  <DocSecurity>0</DocSecurity>
  <Lines>1052</Lines>
  <Paragraphs>268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628: Raffles - South Carolina Legislature Online</dc:title>
  <dc:subject/>
  <dc:creator>SUSANCRAFT</dc:creator>
  <cp:keywords/>
  <dc:description/>
  <cp:lastModifiedBy>N Cumfer</cp:lastModifiedBy>
  <cp:revision>7</cp:revision>
  <cp:lastPrinted>2009-03-25T23:14:00Z</cp:lastPrinted>
  <dcterms:created xsi:type="dcterms:W3CDTF">2009-05-13T23:24:00Z</dcterms:created>
  <dcterms:modified xsi:type="dcterms:W3CDTF">2014-11-24T15:03:00Z</dcterms:modified>
</cp:coreProperties>
</file>