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75</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Ford</w:t>
      </w: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l:\council\bills\nbd\11041ac09.docx</w:t>
      </w: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39, 40, 73, 76</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Labor, Commerce and Industry</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S.C. Fair Housing Law</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081FA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A07AD" w:rsidRDefault="009A07AD">
      <w:pPr>
        <w:widowControl w:val="0"/>
        <w:tabs>
          <w:tab w:val="center" w:pos="590"/>
          <w:tab w:val="center" w:pos="1440"/>
          <w:tab w:val="left" w:pos="1872"/>
          <w:tab w:val="left" w:pos="9187"/>
        </w:tabs>
        <w:jc w:val="left"/>
        <w:rPr>
          <w:rFonts w:cs="Times New Roman"/>
        </w:rPr>
      </w:pPr>
    </w:p>
    <w:p w:rsidR="009A07AD" w:rsidRDefault="00081FA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A07AD" w:rsidRDefault="00081FA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9A07AD" w:rsidRDefault="00081FA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9A07AD" w:rsidRDefault="00081F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3690A">
          <w:rPr>
            <w:rStyle w:val="Hyperlink"/>
            <w:rFonts w:cs="Times New Roman"/>
          </w:rPr>
          <w:t>SJ</w:t>
        </w:r>
      </w:hyperlink>
      <w:r>
        <w:rPr>
          <w:rFonts w:cs="Times New Roman"/>
        </w:rPr>
        <w:noBreakHyphen/>
        <w:t>106</w:t>
      </w:r>
    </w:p>
    <w:p w:rsidR="009A07AD" w:rsidRDefault="00081F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63690A">
          <w:rPr>
            <w:rStyle w:val="Hyperlink"/>
            <w:rFonts w:cs="Times New Roman"/>
          </w:rPr>
          <w:t>SJ</w:t>
        </w:r>
      </w:hyperlink>
      <w:r>
        <w:rPr>
          <w:rFonts w:cs="Times New Roman"/>
        </w:rPr>
        <w:noBreakHyphen/>
        <w:t>106</w:t>
      </w:r>
    </w:p>
    <w:p w:rsidR="009A07AD" w:rsidRDefault="009A07AD">
      <w:pPr>
        <w:widowControl w:val="0"/>
        <w:tabs>
          <w:tab w:val="right" w:pos="1008"/>
          <w:tab w:val="left" w:pos="1152"/>
          <w:tab w:val="left" w:pos="1872"/>
          <w:tab w:val="left" w:pos="9187"/>
        </w:tabs>
        <w:ind w:left="2088" w:hanging="2088"/>
        <w:jc w:val="left"/>
        <w:rPr>
          <w:rFonts w:cs="Times New Roman"/>
        </w:rPr>
      </w:pPr>
    </w:p>
    <w:p w:rsidR="009A07AD" w:rsidRDefault="009A07AD">
      <w:pPr>
        <w:widowControl w:val="0"/>
        <w:tabs>
          <w:tab w:val="right" w:pos="1008"/>
          <w:tab w:val="left" w:pos="1152"/>
          <w:tab w:val="left" w:pos="1872"/>
          <w:tab w:val="left" w:pos="9187"/>
        </w:tabs>
        <w:ind w:left="2088" w:hanging="2088"/>
        <w:jc w:val="left"/>
        <w:rPr>
          <w:rFonts w:cs="Times New Roman"/>
        </w:rPr>
      </w:pPr>
    </w:p>
    <w:p w:rsidR="009A07AD" w:rsidRDefault="00081F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9A07AD" w:rsidRDefault="009A07A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A07AD" w:rsidRDefault="001B43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081FAC">
          <w:rPr>
            <w:rStyle w:val="Hyperlink"/>
            <w:rFonts w:cs="Times New Roman"/>
          </w:rPr>
          <w:t>12/10/2008</w:t>
        </w:r>
      </w:hyperlink>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07AD">
          <w:pgSz w:w="12240" w:h="15840" w:code="1"/>
          <w:pgMar w:top="1080" w:right="1440" w:bottom="1080" w:left="1440" w:header="720" w:footer="720" w:gutter="0"/>
          <w:cols w:space="720"/>
          <w:noEndnote/>
          <w:docGrid w:linePitch="360"/>
        </w:sect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31</w:t>
      </w:r>
      <w:r>
        <w:rPr>
          <w:rFonts w:eastAsia="Times New Roman" w:cs="Times New Roman"/>
          <w:szCs w:val="20"/>
        </w:rPr>
        <w:noBreakHyphen/>
        <w:t>21</w:t>
      </w:r>
      <w:r>
        <w:rPr>
          <w:rFonts w:eastAsia="Times New Roman" w:cs="Times New Roman"/>
          <w:szCs w:val="20"/>
        </w:rPr>
        <w:noBreakHyphen/>
        <w:t>30, 31</w:t>
      </w:r>
      <w:r>
        <w:rPr>
          <w:rFonts w:eastAsia="Times New Roman" w:cs="Times New Roman"/>
          <w:szCs w:val="20"/>
        </w:rPr>
        <w:noBreakHyphen/>
        <w:t>21</w:t>
      </w:r>
      <w:r>
        <w:rPr>
          <w:rFonts w:eastAsia="Times New Roman" w:cs="Times New Roman"/>
          <w:szCs w:val="20"/>
        </w:rPr>
        <w:noBreakHyphen/>
        <w:t>40, 31</w:t>
      </w:r>
      <w:r>
        <w:rPr>
          <w:rFonts w:eastAsia="Times New Roman" w:cs="Times New Roman"/>
          <w:szCs w:val="20"/>
        </w:rPr>
        <w:noBreakHyphen/>
        <w:t>21</w:t>
      </w:r>
      <w:r>
        <w:rPr>
          <w:rFonts w:eastAsia="Times New Roman" w:cs="Times New Roman"/>
          <w:szCs w:val="20"/>
        </w:rPr>
        <w:noBreakHyphen/>
        <w:t>50, 31</w:t>
      </w:r>
      <w:r>
        <w:rPr>
          <w:rFonts w:eastAsia="Times New Roman" w:cs="Times New Roman"/>
          <w:szCs w:val="20"/>
        </w:rPr>
        <w:noBreakHyphen/>
        <w:t>21</w:t>
      </w:r>
      <w:r>
        <w:rPr>
          <w:rFonts w:eastAsia="Times New Roman" w:cs="Times New Roman"/>
          <w:szCs w:val="20"/>
        </w:rPr>
        <w:noBreakHyphen/>
        <w:t>60, AND 31</w:t>
      </w:r>
      <w:r>
        <w:rPr>
          <w:rFonts w:eastAsia="Times New Roman" w:cs="Times New Roman"/>
          <w:szCs w:val="20"/>
        </w:rPr>
        <w:noBreakHyphen/>
        <w:t>21</w:t>
      </w:r>
      <w:r>
        <w:rPr>
          <w:rFonts w:eastAsia="Times New Roman" w:cs="Times New Roman"/>
          <w:szCs w:val="20"/>
        </w:rPr>
        <w:noBreakHyphen/>
        <w:t>70, CODE OF LAWS OF SOUTH CAROLINA, 1976, ALL RELATING TO PROHIBITING DISCRIMINATION PURSUANT TO THE SOUTH CAROLINA FAIR HOUSING LAW, CONCERNING THE BUYING, SELLING, OR RENTING OF DWELLINGS, BECAUSE OF RACE, COLOR, RELIGION, SEX, HANDICAP, FAMILIAL STATUS, OR NATIONAL ORIGIN, SO AS TO ALSO PROHIBIT SUCH DISCRIMINATION BECAUSE OF SEXUAL ORIENTATION OR GENDER IDENTITY AND TO DEFINE “SEXUAL ORIENTATION” AND “GENDER IDENTITY”.</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30 of the 1976 Code is amended by adding appropriately numbered items to read:</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r>
      <w:r>
        <w:rPr>
          <w:rFonts w:eastAsia="Times New Roman" w:cs="Times New Roman"/>
          <w:bCs/>
          <w:szCs w:val="20"/>
        </w:rPr>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SECTION</w:t>
      </w:r>
      <w:r>
        <w:rPr>
          <w:rFonts w:eastAsia="Times New Roman" w:cs="Times New Roman"/>
          <w:bCs/>
          <w:szCs w:val="20"/>
        </w:rPr>
        <w:tab/>
        <w:t>2.</w:t>
      </w: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 of the 1976 Code is amended to read:</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 xml:space="preserve">It is unlawful: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to refuse to sell or rent after the making of a bona fide offer, to refuse to negotiate for the sale or rental of, or otherwise to </w:t>
      </w:r>
      <w:r>
        <w:rPr>
          <w:rFonts w:eastAsia="Times New Roman" w:cs="Times New Roman"/>
          <w:szCs w:val="20"/>
        </w:rPr>
        <w:lastRenderedPageBreak/>
        <w:t xml:space="preserve">make unavailable or deny a dwelling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to discriminate against any person in the terms, conditions, or privileges of sale or rental of a dwelling, or in the provision of services or facilities in connection with it,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to make, print, or publish, or cause to be made, printed, or published, any notice, statement, or advertisement with respect to the sale or rental of a dwelling that indicates any preference, limitation,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or an intention to make the preference, limitation, or discrimination;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to represent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that any dwelling is not available for inspection, sale, or rental when the dwelling is available;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for profit, to induce or attempt to induce any person to sell or rent any dwelling by representations regarding the entry or prospective entry into the neighborhood of a person or persons of a particular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to discriminate in the sale or rental, or to otherwise make unavailable or deny, a dwelling to any buyer or renter because of a handicap of: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buyer or renter;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any person associated with that buyer or renter;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to discriminate against a person in the terms, conditions, or privileges of sale or rental of a dwelling, or in the provision of services or facilities in connection with the dwelling, because of a handicap of: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person;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any person associated with that person.”</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 of the 1976 Code is amended to read:</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w:t>
      </w:r>
      <w:r>
        <w:rPr>
          <w:rFonts w:eastAsia="Times New Roman" w:cs="Times New Roman"/>
          <w:szCs w:val="20"/>
        </w:rPr>
        <w:tab/>
        <w:t>It is unlawful to deny any person access to, or membership or participation in, any multiple</w:t>
      </w:r>
      <w:r>
        <w:rPr>
          <w:rFonts w:eastAsia="Times New Roman" w:cs="Times New Roman"/>
          <w:szCs w:val="20"/>
        </w:rPr>
        <w:noBreakHyphen/>
        <w:t xml:space="preserve">listing service, real estate brokers’ organization, or other service, organization, or facility relating to the business of selling or renting dwellings or to discriminate against him in the terms or conditions of the access, membership, or participation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 of the 1976 Code is amended to read:</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It is unlawful for any person or other entity whose business includes engaging in residential real estate</w:t>
      </w:r>
      <w:r>
        <w:rPr>
          <w:rFonts w:eastAsia="Times New Roman" w:cs="Times New Roman"/>
          <w:szCs w:val="20"/>
        </w:rPr>
        <w:noBreakHyphen/>
        <w:t xml:space="preserve">related transactions to discriminate against any person in making available such a transaction, or in the terms or conditions of the transaction,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‘residential real estate</w:t>
      </w:r>
      <w:r>
        <w:rPr>
          <w:rFonts w:eastAsia="Times New Roman" w:cs="Times New Roman"/>
          <w:szCs w:val="20"/>
        </w:rPr>
        <w:noBreakHyphen/>
        <w:t xml:space="preserve">related transaction’ means any of the following: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making or purchasing of loans or providing other financial assistance: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for purchasing, constructing, improving, repairing, or maintaining a dwelling;  or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secured by residential real estate;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selling, brokering, or appraising of residential real property. </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prohibits a person engaged in the business of furnishing appraisals of real property to take into consideration factors other than race, color, religion, national origin, sex, </w:t>
      </w:r>
      <w:r>
        <w:rPr>
          <w:rFonts w:eastAsia="Times New Roman" w:cs="Times New Roman"/>
          <w:szCs w:val="20"/>
          <w:u w:val="single"/>
        </w:rPr>
        <w:t>sexual orientation, gender identity,</w:t>
      </w:r>
      <w:r>
        <w:rPr>
          <w:rFonts w:eastAsia="Times New Roman" w:cs="Times New Roman"/>
          <w:szCs w:val="20"/>
        </w:rPr>
        <w:t xml:space="preserve"> handicap, or familial status.”</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70(D) of the 1976 Code is amended to read:</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 xml:space="preserve">Nothing in this chapter prohibits a religious organization, association, or society, or any nonprofit institution or organization operated, supervised, or controlled by or in conjunction with a religious organization, association, or society, from limiting the sale, rental, or occupancy of any dwelling which it owns or operates for other than a commercial purpose to persons of the same religion or from giving preference to those persons, unless membership in the religion is restricted because of race, color,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prohibits a private club not in fact open to the public, which as an incident to its primary purpose provides lodgings which it owns or operates for other than a commercial purpose, from limiting the rental or occupancy of the lodgings to its members or from giving preference to its members.”</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07AD" w:rsidRDefault="009A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9A07AD" w:rsidRDefault="00081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A07AD" w:rsidSect="009A07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7AD" w:rsidRDefault="00081FAC">
      <w:r>
        <w:separator/>
      </w:r>
    </w:p>
  </w:endnote>
  <w:endnote w:type="continuationSeparator" w:id="0">
    <w:p w:rsidR="009A07AD" w:rsidRDefault="0008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ADD47-06EF-40B7-BBC7-8DD4A54B05BD}"/>
    <w:embedBold r:id="rId2" w:fontKey="{69F500AC-A79D-40E8-97EC-DD66824F5F96}"/>
  </w:font>
  <w:font w:name="Calibri">
    <w:panose1 w:val="020F0502020204030204"/>
    <w:charset w:val="00"/>
    <w:family w:val="swiss"/>
    <w:pitch w:val="variable"/>
    <w:sig w:usb0="E10002FF" w:usb1="4000ACFF" w:usb2="00000009" w:usb3="00000000" w:csb0="0000019F" w:csb1="00000000"/>
    <w:embedRegular r:id="rId3" w:fontKey="{10B7DA52-B2F7-47CC-83B4-C5B3EA463DE2}"/>
    <w:embedBold r:id="rId4" w:fontKey="{1C90182A-079A-439C-9766-3ADD03E8FB78}"/>
  </w:font>
  <w:font w:name="Tahoma">
    <w:panose1 w:val="020B0604030504040204"/>
    <w:charset w:val="00"/>
    <w:family w:val="swiss"/>
    <w:pitch w:val="variable"/>
    <w:sig w:usb0="21002A87" w:usb1="80000000" w:usb2="00000008" w:usb3="00000000" w:csb0="000101FF" w:csb1="00000000"/>
    <w:embedRegular r:id="rId5" w:fontKey="{7C212CAF-654F-4877-9B47-AC5E1D0ECC9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CAC35A6-8394-462F-95E4-55E1A2C09F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7AD" w:rsidRDefault="00081FAC">
    <w:pPr>
      <w:pStyle w:val="Footer"/>
      <w:tabs>
        <w:tab w:val="clear" w:pos="4680"/>
        <w:tab w:val="clear" w:pos="9360"/>
        <w:tab w:val="center" w:pos="2995"/>
      </w:tabs>
      <w:spacing w:before="120"/>
    </w:pPr>
    <w:r>
      <w:t>[75]</w:t>
    </w:r>
    <w:r>
      <w:tab/>
    </w:r>
    <w:r w:rsidR="001B4367">
      <w:fldChar w:fldCharType="begin"/>
    </w:r>
    <w:r w:rsidR="001B4367">
      <w:instrText xml:space="preserve"> PA</w:instrText>
    </w:r>
    <w:r w:rsidR="001B4367">
      <w:instrText xml:space="preserve">GE  \* MERGEFORMAT </w:instrText>
    </w:r>
    <w:r w:rsidR="001B4367">
      <w:fldChar w:fldCharType="separate"/>
    </w:r>
    <w:r w:rsidR="001B4367">
      <w:rPr>
        <w:noProof/>
      </w:rPr>
      <w:t>1</w:t>
    </w:r>
    <w:r w:rsidR="001B43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7AD" w:rsidRDefault="00081FAC">
      <w:r>
        <w:separator/>
      </w:r>
    </w:p>
  </w:footnote>
  <w:footnote w:type="continuationSeparator" w:id="0">
    <w:p w:rsidR="009A07AD" w:rsidRDefault="00081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A07AD"/>
    <w:rsid w:val="00081FAC"/>
    <w:rsid w:val="001B4367"/>
    <w:rsid w:val="002534DE"/>
    <w:rsid w:val="0063690A"/>
    <w:rsid w:val="006C0A6B"/>
    <w:rsid w:val="009A07AD"/>
    <w:rsid w:val="00A25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22E606-EB68-4FCE-850D-DDE083DF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7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A07AD"/>
    <w:rPr>
      <w:szCs w:val="21"/>
    </w:rPr>
  </w:style>
  <w:style w:type="character" w:customStyle="1" w:styleId="PlainTextChar">
    <w:name w:val="Plain Text Char"/>
    <w:basedOn w:val="DefaultParagraphFont"/>
    <w:link w:val="PlainText"/>
    <w:uiPriority w:val="99"/>
    <w:rsid w:val="009A07AD"/>
    <w:rPr>
      <w:szCs w:val="21"/>
    </w:rPr>
  </w:style>
  <w:style w:type="paragraph" w:styleId="BodyText">
    <w:name w:val="Body Text"/>
    <w:basedOn w:val="Normal"/>
    <w:link w:val="BodyTextChar"/>
    <w:uiPriority w:val="99"/>
    <w:locked/>
    <w:rsid w:val="009A07AD"/>
  </w:style>
  <w:style w:type="character" w:customStyle="1" w:styleId="BodyTextChar">
    <w:name w:val="Body Text Char"/>
    <w:basedOn w:val="DefaultParagraphFont"/>
    <w:link w:val="BodyText"/>
    <w:uiPriority w:val="99"/>
    <w:rsid w:val="009A07AD"/>
  </w:style>
  <w:style w:type="paragraph" w:styleId="BalloonText">
    <w:name w:val="Balloon Text"/>
    <w:next w:val="Normal"/>
    <w:link w:val="BalloonTextChar"/>
    <w:uiPriority w:val="99"/>
    <w:unhideWhenUsed/>
    <w:rsid w:val="009A07AD"/>
    <w:rPr>
      <w:rFonts w:cs="Tahoma"/>
      <w:szCs w:val="16"/>
    </w:rPr>
  </w:style>
  <w:style w:type="character" w:customStyle="1" w:styleId="BalloonTextChar">
    <w:name w:val="Balloon Text Char"/>
    <w:basedOn w:val="DefaultParagraphFont"/>
    <w:link w:val="BalloonText"/>
    <w:uiPriority w:val="99"/>
    <w:rsid w:val="009A07AD"/>
    <w:rPr>
      <w:rFonts w:cs="Tahoma"/>
      <w:szCs w:val="16"/>
    </w:rPr>
  </w:style>
  <w:style w:type="paragraph" w:styleId="NormalWeb">
    <w:name w:val="Normal (Web)"/>
    <w:basedOn w:val="Normal"/>
    <w:next w:val="Normal"/>
    <w:semiHidden/>
    <w:locked/>
    <w:rsid w:val="009A07A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A07A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A07AD"/>
    <w:rPr>
      <w:rFonts w:eastAsia="Times New Roman" w:cs="Times New Roman"/>
      <w:szCs w:val="20"/>
    </w:rPr>
  </w:style>
  <w:style w:type="paragraph" w:styleId="Header">
    <w:name w:val="header"/>
    <w:basedOn w:val="Normal"/>
    <w:link w:val="HeaderChar"/>
    <w:uiPriority w:val="99"/>
    <w:semiHidden/>
    <w:unhideWhenUsed/>
    <w:locked/>
    <w:rsid w:val="009A07AD"/>
    <w:pPr>
      <w:tabs>
        <w:tab w:val="center" w:pos="4680"/>
        <w:tab w:val="right" w:pos="9360"/>
      </w:tabs>
    </w:pPr>
  </w:style>
  <w:style w:type="character" w:customStyle="1" w:styleId="HeaderChar">
    <w:name w:val="Header Char"/>
    <w:basedOn w:val="DefaultParagraphFont"/>
    <w:link w:val="Header"/>
    <w:uiPriority w:val="99"/>
    <w:semiHidden/>
    <w:rsid w:val="009A07AD"/>
  </w:style>
  <w:style w:type="character" w:styleId="LineNumber">
    <w:name w:val="line number"/>
    <w:basedOn w:val="DefaultParagraphFont"/>
    <w:uiPriority w:val="99"/>
    <w:semiHidden/>
    <w:unhideWhenUsed/>
    <w:locked/>
    <w:rsid w:val="009A07AD"/>
  </w:style>
  <w:style w:type="character" w:styleId="Hyperlink">
    <w:name w:val="Hyperlink"/>
    <w:basedOn w:val="DefaultParagraphFont"/>
    <w:uiPriority w:val="99"/>
    <w:unhideWhenUsed/>
    <w:locked/>
    <w:rsid w:val="009A0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1301</Words>
  <Characters>7147</Characters>
  <Application>Microsoft Office Word</Application>
  <DocSecurity>0</DocSecurity>
  <Lines>197</Lines>
  <Paragraphs>56</Paragraphs>
  <ScaleCrop>false</ScaleCrop>
  <Company>Project Management</Company>
  <LinksUpToDate>false</LinksUpToDate>
  <CharactersWithSpaces>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 S.C. Fair Housing Law - South Carolina Legislature Online</dc:title>
  <dc:subject/>
  <dc:creator>NSC</dc:creator>
  <cp:keywords/>
  <dc:description/>
  <cp:lastModifiedBy>N Cumfer</cp:lastModifiedBy>
  <cp:revision>11</cp:revision>
  <dcterms:created xsi:type="dcterms:W3CDTF">2008-12-10T20:00:00Z</dcterms:created>
  <dcterms:modified xsi:type="dcterms:W3CDTF">2014-11-24T14:53:00Z</dcterms:modified>
</cp:coreProperties>
</file>