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4FB" w:rsidRDefault="00D63EFD">
      <w:pPr>
        <w:widowControl w:val="0"/>
        <w:jc w:val="center"/>
        <w:rPr>
          <w:rFonts w:cs="Times New Roman"/>
        </w:rPr>
      </w:pPr>
      <w:bookmarkStart w:id="0" w:name="_GoBack"/>
      <w:bookmarkEnd w:id="0"/>
      <w:r>
        <w:rPr>
          <w:rFonts w:cs="Times New Roman"/>
          <w:b/>
        </w:rPr>
        <w:t>South Carolina General Assembly</w:t>
      </w:r>
    </w:p>
    <w:p w:rsidR="00A154FB" w:rsidRDefault="00D63EFD">
      <w:pPr>
        <w:widowControl w:val="0"/>
        <w:jc w:val="center"/>
        <w:rPr>
          <w:rFonts w:cs="Times New Roman"/>
        </w:rPr>
      </w:pPr>
      <w:r>
        <w:rPr>
          <w:rFonts w:cs="Times New Roman"/>
        </w:rPr>
        <w:t>118th Session, 2009-2010</w:t>
      </w:r>
    </w:p>
    <w:p w:rsidR="00A154FB" w:rsidRDefault="00A154FB">
      <w:pPr>
        <w:widowControl w:val="0"/>
        <w:jc w:val="left"/>
        <w:rPr>
          <w:rFonts w:cs="Times New Roman"/>
        </w:rPr>
      </w:pPr>
    </w:p>
    <w:p w:rsidR="00A154FB" w:rsidRDefault="00D63EFD">
      <w:pPr>
        <w:widowControl w:val="0"/>
        <w:jc w:val="left"/>
        <w:rPr>
          <w:rFonts w:cs="Times New Roman"/>
          <w:b/>
        </w:rPr>
      </w:pPr>
      <w:r>
        <w:rPr>
          <w:rFonts w:cs="Times New Roman"/>
          <w:b/>
        </w:rPr>
        <w:t>S. 92</w:t>
      </w:r>
    </w:p>
    <w:p w:rsidR="00A154FB" w:rsidRDefault="00A154FB">
      <w:pPr>
        <w:widowControl w:val="0"/>
        <w:jc w:val="left"/>
        <w:rPr>
          <w:rFonts w:cs="Times New Roman"/>
          <w:b/>
        </w:rPr>
      </w:pPr>
    </w:p>
    <w:p w:rsidR="00A154FB" w:rsidRDefault="00D63EFD">
      <w:pPr>
        <w:widowControl w:val="0"/>
        <w:jc w:val="left"/>
        <w:rPr>
          <w:rFonts w:cs="Times New Roman"/>
        </w:rPr>
      </w:pPr>
      <w:r>
        <w:rPr>
          <w:rFonts w:cs="Times New Roman"/>
          <w:b/>
        </w:rPr>
        <w:t>STATUS INFORMATION</w:t>
      </w:r>
    </w:p>
    <w:p w:rsidR="00A154FB" w:rsidRDefault="00A154FB">
      <w:pPr>
        <w:widowControl w:val="0"/>
        <w:jc w:val="left"/>
        <w:rPr>
          <w:rFonts w:cs="Times New Roman"/>
        </w:rPr>
      </w:pPr>
    </w:p>
    <w:p w:rsidR="00A154FB" w:rsidRDefault="00D63EFD">
      <w:pPr>
        <w:widowControl w:val="0"/>
        <w:jc w:val="left"/>
        <w:rPr>
          <w:rFonts w:cs="Times New Roman"/>
        </w:rPr>
      </w:pPr>
      <w:r>
        <w:rPr>
          <w:rFonts w:cs="Times New Roman"/>
        </w:rPr>
        <w:t>General Bill</w:t>
      </w:r>
    </w:p>
    <w:p w:rsidR="00A154FB" w:rsidRDefault="00D63EFD">
      <w:pPr>
        <w:widowControl w:val="0"/>
        <w:jc w:val="left"/>
        <w:rPr>
          <w:rFonts w:cs="Times New Roman"/>
        </w:rPr>
      </w:pPr>
      <w:r>
        <w:rPr>
          <w:rFonts w:cs="Times New Roman"/>
        </w:rPr>
        <w:t>Sponsors: Senator Ford</w:t>
      </w:r>
    </w:p>
    <w:p w:rsidR="00A154FB" w:rsidRDefault="00D63EFD">
      <w:pPr>
        <w:widowControl w:val="0"/>
        <w:jc w:val="left"/>
        <w:rPr>
          <w:rFonts w:cs="Times New Roman"/>
        </w:rPr>
      </w:pPr>
      <w:r>
        <w:rPr>
          <w:rFonts w:cs="Times New Roman"/>
        </w:rPr>
        <w:t>Document Path: l:\council\bills\ms\7054mm09.docx</w:t>
      </w:r>
    </w:p>
    <w:p w:rsidR="00A154FB" w:rsidRDefault="00A154FB">
      <w:pPr>
        <w:widowControl w:val="0"/>
        <w:jc w:val="left"/>
        <w:rPr>
          <w:rFonts w:cs="Times New Roman"/>
        </w:rPr>
      </w:pPr>
    </w:p>
    <w:p w:rsidR="00A154FB" w:rsidRDefault="00D63EFD">
      <w:pPr>
        <w:widowControl w:val="0"/>
        <w:jc w:val="left"/>
        <w:rPr>
          <w:rFonts w:cs="Times New Roman"/>
        </w:rPr>
      </w:pPr>
      <w:r>
        <w:rPr>
          <w:rFonts w:cs="Times New Roman"/>
        </w:rPr>
        <w:t>Introduced in the Senate on January 13, 2009</w:t>
      </w:r>
    </w:p>
    <w:p w:rsidR="00A154FB" w:rsidRDefault="00D63EFD">
      <w:pPr>
        <w:widowControl w:val="0"/>
        <w:jc w:val="left"/>
        <w:rPr>
          <w:rFonts w:cs="Times New Roman"/>
        </w:rPr>
      </w:pPr>
      <w:r>
        <w:rPr>
          <w:rFonts w:cs="Times New Roman"/>
        </w:rPr>
        <w:t xml:space="preserve">Currently residing in the Senate Committee on </w:t>
      </w:r>
      <w:r>
        <w:rPr>
          <w:rFonts w:cs="Times New Roman"/>
          <w:b/>
        </w:rPr>
        <w:t>Labor, Commerce and Industry</w:t>
      </w:r>
    </w:p>
    <w:p w:rsidR="00A154FB" w:rsidRDefault="00A154FB">
      <w:pPr>
        <w:widowControl w:val="0"/>
        <w:jc w:val="left"/>
        <w:rPr>
          <w:rFonts w:cs="Times New Roman"/>
        </w:rPr>
      </w:pPr>
    </w:p>
    <w:p w:rsidR="00A154FB" w:rsidRDefault="00D63EFD">
      <w:pPr>
        <w:widowControl w:val="0"/>
        <w:jc w:val="left"/>
        <w:rPr>
          <w:rFonts w:cs="Times New Roman"/>
        </w:rPr>
      </w:pPr>
      <w:r>
        <w:rPr>
          <w:rFonts w:cs="Times New Roman"/>
        </w:rPr>
        <w:t>Summary: Federal Defense Facilities Development Law</w:t>
      </w:r>
    </w:p>
    <w:p w:rsidR="00A154FB" w:rsidRDefault="00A154FB">
      <w:pPr>
        <w:widowControl w:val="0"/>
        <w:jc w:val="left"/>
        <w:rPr>
          <w:rFonts w:cs="Times New Roman"/>
        </w:rPr>
      </w:pPr>
    </w:p>
    <w:p w:rsidR="00A154FB" w:rsidRDefault="00A154FB">
      <w:pPr>
        <w:widowControl w:val="0"/>
        <w:jc w:val="left"/>
        <w:rPr>
          <w:rFonts w:cs="Times New Roman"/>
        </w:rPr>
      </w:pPr>
    </w:p>
    <w:p w:rsidR="00A154FB" w:rsidRDefault="00D63EF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154FB" w:rsidRDefault="00A154FB">
      <w:pPr>
        <w:widowControl w:val="0"/>
        <w:tabs>
          <w:tab w:val="center" w:pos="590"/>
          <w:tab w:val="center" w:pos="1440"/>
          <w:tab w:val="left" w:pos="1872"/>
          <w:tab w:val="left" w:pos="9187"/>
        </w:tabs>
        <w:jc w:val="left"/>
        <w:rPr>
          <w:rFonts w:cs="Times New Roman"/>
        </w:rPr>
      </w:pPr>
    </w:p>
    <w:p w:rsidR="00A154FB" w:rsidRDefault="00D63EF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154FB" w:rsidRDefault="00D63EF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154FB" w:rsidRDefault="00D63EF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A154FB" w:rsidRDefault="00D63EF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87DA5">
          <w:rPr>
            <w:rStyle w:val="Hyperlink"/>
            <w:rFonts w:cs="Times New Roman"/>
          </w:rPr>
          <w:t>SJ</w:t>
        </w:r>
      </w:hyperlink>
      <w:r>
        <w:rPr>
          <w:rFonts w:cs="Times New Roman"/>
        </w:rPr>
        <w:noBreakHyphen/>
        <w:t>113</w:t>
      </w:r>
    </w:p>
    <w:p w:rsidR="00A154FB" w:rsidRDefault="00D63EF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987DA5">
          <w:rPr>
            <w:rStyle w:val="Hyperlink"/>
            <w:rFonts w:cs="Times New Roman"/>
          </w:rPr>
          <w:t>SJ</w:t>
        </w:r>
      </w:hyperlink>
      <w:r>
        <w:rPr>
          <w:rFonts w:cs="Times New Roman"/>
        </w:rPr>
        <w:noBreakHyphen/>
        <w:t>113</w:t>
      </w:r>
    </w:p>
    <w:p w:rsidR="00A154FB" w:rsidRDefault="00A154FB">
      <w:pPr>
        <w:widowControl w:val="0"/>
        <w:tabs>
          <w:tab w:val="right" w:pos="1008"/>
          <w:tab w:val="left" w:pos="1152"/>
          <w:tab w:val="left" w:pos="1872"/>
          <w:tab w:val="left" w:pos="9187"/>
        </w:tabs>
        <w:ind w:left="2088" w:hanging="2088"/>
        <w:jc w:val="left"/>
        <w:rPr>
          <w:rFonts w:cs="Times New Roman"/>
        </w:rPr>
      </w:pPr>
    </w:p>
    <w:p w:rsidR="00A154FB" w:rsidRDefault="00A154FB">
      <w:pPr>
        <w:widowControl w:val="0"/>
        <w:tabs>
          <w:tab w:val="right" w:pos="1008"/>
          <w:tab w:val="left" w:pos="1152"/>
          <w:tab w:val="left" w:pos="1872"/>
          <w:tab w:val="left" w:pos="9187"/>
        </w:tabs>
        <w:ind w:left="2088" w:hanging="2088"/>
        <w:jc w:val="left"/>
        <w:rPr>
          <w:rFonts w:cs="Times New Roman"/>
        </w:rPr>
      </w:pPr>
    </w:p>
    <w:p w:rsidR="00A154FB" w:rsidRDefault="00D63EFD">
      <w:pPr>
        <w:widowControl w:val="0"/>
        <w:jc w:val="left"/>
        <w:rPr>
          <w:rFonts w:cs="Times New Roman"/>
        </w:rPr>
      </w:pPr>
      <w:r>
        <w:rPr>
          <w:rFonts w:cs="Times New Roman"/>
          <w:b/>
        </w:rPr>
        <w:t>VERSIONS OF THIS BILL</w:t>
      </w:r>
    </w:p>
    <w:p w:rsidR="00A154FB" w:rsidRDefault="00A154FB">
      <w:pPr>
        <w:widowControl w:val="0"/>
        <w:jc w:val="left"/>
        <w:rPr>
          <w:rFonts w:cs="Times New Roman"/>
        </w:rPr>
      </w:pPr>
    </w:p>
    <w:p w:rsidR="00A154FB" w:rsidRDefault="009D2AAA">
      <w:pPr>
        <w:widowControl w:val="0"/>
        <w:jc w:val="left"/>
        <w:rPr>
          <w:rFonts w:cs="Times New Roman"/>
        </w:rPr>
      </w:pPr>
      <w:hyperlink r:id="rId8" w:history="1">
        <w:r w:rsidR="00D63EFD">
          <w:rPr>
            <w:rStyle w:val="Hyperlink"/>
            <w:rFonts w:cs="Times New Roman"/>
          </w:rPr>
          <w:t>12/10/2008</w:t>
        </w:r>
      </w:hyperlink>
    </w:p>
    <w:p w:rsidR="00A154FB" w:rsidRDefault="00A154FB"/>
    <w:p w:rsidR="00A154FB" w:rsidRDefault="00A154FB">
      <w:pPr>
        <w:sectPr w:rsidR="00A154FB">
          <w:pgSz w:w="12240" w:h="15840" w:code="1"/>
          <w:pgMar w:top="1080" w:right="1440" w:bottom="1080" w:left="1440" w:header="720" w:footer="720" w:gutter="0"/>
          <w:cols w:space="720"/>
          <w:noEndnote/>
          <w:docGrid w:linePitch="360"/>
        </w:sectPr>
      </w:pPr>
    </w:p>
    <w:p w:rsidR="00A154FB" w:rsidRDefault="00A154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31</w:t>
      </w:r>
      <w:r>
        <w:rPr>
          <w:rFonts w:eastAsia="Times New Roman" w:cs="Times New Roman"/>
          <w:szCs w:val="20"/>
        </w:rPr>
        <w:noBreakHyphen/>
        <w:t>12</w:t>
      </w:r>
      <w:r>
        <w:rPr>
          <w:rFonts w:eastAsia="Times New Roman" w:cs="Times New Roman"/>
          <w:szCs w:val="20"/>
        </w:rPr>
        <w:noBreakHyphen/>
        <w:t>30, CODE OF LAWS OF SOUTH CAROLINA, 1976, RELATING TO DEFINITIONS IN CONNECTION WITH THE FEDERAL DEFENSE FACILITIES REDEVELOPMENT LAW, SO AS TO PROVIDE FOR A MUNICIPALITY AS A PART OF THE “AREA OF OPERATION” ENTITLED TO REPRESENTATION ON A REDEVELOPMENT AUTHORITY; TO AMEND SECTION 31</w:t>
      </w:r>
      <w:r>
        <w:rPr>
          <w:rFonts w:eastAsia="Times New Roman" w:cs="Times New Roman"/>
          <w:szCs w:val="20"/>
        </w:rPr>
        <w:noBreakHyphen/>
        <w:t>12</w:t>
      </w:r>
      <w:r>
        <w:rPr>
          <w:rFonts w:eastAsia="Times New Roman" w:cs="Times New Roman"/>
          <w:szCs w:val="20"/>
        </w:rPr>
        <w:noBreakHyphen/>
        <w:t>40, RELATING TO THE CREATION OF A REDEVELOPMENT AUTHORITY, SO AS TO PROVIDE FOR THE MEMBERSHIP COMPOSITION OF A REDEVELOPMENT AUTHORITY CONTROLLING PROPERTY WITHIN A FEDERALLY DEFINED METROPOLITAN STATISTICAL AREA (MSA) LYING WITHIN THE BOUNDARIES OF A MUNICIPALITY, TO REQUIRE RESTRUCTURING OF A NONCOMPLYING AUTHORITY, TO PROVIDE THAT A NEWLY CREATED OR RESTRUCTURED AUTHORITY IS A CREATION OF THE MUNICIPALITY AND NOT THE STATE, TO CONFER UPON THE NEW OR RESTRUCTURED AUTHORITY ALL THE SEPARATE AND DISTINCT POWERS OF OTHER REDEVELOPMENT AUTHORITIES, TO PROVIDE THAT THE NEW OR RESTRUCTURED ENTITY IS NOT A STATE AGENCY FOR, AMONG OTHER THINGS, PURPOSES OF LEASING OF, ACQUISITION OF TITLE TO, AND OTHER TRANSACTIONS INVOLVING REAL PROPERTY AND COMPLIANCE WITH THE CONSOLIDATED PROCUREMENT CODE, AND TO REQUIRE THE NEW OR RESTRUCTURED AUTHORITY TO INDEMNIFY THE STATE AGAINST LOSSES ARISING OUT OF ITS TRANSACTIONS OR ITS LIABILITIES; TO AMEND SECTIONS 31</w:t>
      </w:r>
      <w:r>
        <w:rPr>
          <w:rFonts w:eastAsia="Times New Roman" w:cs="Times New Roman"/>
          <w:szCs w:val="20"/>
        </w:rPr>
        <w:noBreakHyphen/>
        <w:t>12</w:t>
      </w:r>
      <w:r>
        <w:rPr>
          <w:rFonts w:eastAsia="Times New Roman" w:cs="Times New Roman"/>
          <w:szCs w:val="20"/>
        </w:rPr>
        <w:noBreakHyphen/>
        <w:t>50 AND 31</w:t>
      </w:r>
      <w:r>
        <w:rPr>
          <w:rFonts w:eastAsia="Times New Roman" w:cs="Times New Roman"/>
          <w:szCs w:val="20"/>
        </w:rPr>
        <w:noBreakHyphen/>
        <w:t>12</w:t>
      </w:r>
      <w:r>
        <w:rPr>
          <w:rFonts w:eastAsia="Times New Roman" w:cs="Times New Roman"/>
          <w:szCs w:val="20"/>
        </w:rPr>
        <w:noBreakHyphen/>
        <w:t xml:space="preserve">100, RELATING TO MEMBERSHIP TERMS AND DISSOLUTION OF A REDEVELOPMENT AUTHORITY, </w:t>
      </w:r>
      <w:r>
        <w:rPr>
          <w:rFonts w:eastAsia="Times New Roman" w:cs="Times New Roman"/>
          <w:szCs w:val="20"/>
        </w:rPr>
        <w:lastRenderedPageBreak/>
        <w:t>RESPECTIVELY, BOTH SO AS TO CONFORM THEM TO CHANGES IN SECTION 31</w:t>
      </w:r>
      <w:r>
        <w:rPr>
          <w:rFonts w:eastAsia="Times New Roman" w:cs="Times New Roman"/>
          <w:szCs w:val="20"/>
        </w:rPr>
        <w:noBreakHyphen/>
        <w:t>12</w:t>
      </w:r>
      <w:r>
        <w:rPr>
          <w:rFonts w:eastAsia="Times New Roman" w:cs="Times New Roman"/>
          <w:szCs w:val="20"/>
        </w:rPr>
        <w:noBreakHyphen/>
        <w:t>40; TO AMEND SECTION 31</w:t>
      </w:r>
      <w:r>
        <w:rPr>
          <w:rFonts w:eastAsia="Times New Roman" w:cs="Times New Roman"/>
          <w:szCs w:val="20"/>
        </w:rPr>
        <w:noBreakHyphen/>
        <w:t>12</w:t>
      </w:r>
      <w:r>
        <w:rPr>
          <w:rFonts w:eastAsia="Times New Roman" w:cs="Times New Roman"/>
          <w:szCs w:val="20"/>
        </w:rPr>
        <w:noBreakHyphen/>
        <w:t>210, RELATING TO ISSUANCE OF OBLIGATIONS AND DISPOSITION OF FUNDS BY A MUNICIPALITY, SO AS TO INCLUDE IN THE TIME LIMIT FIFTEEN YEARS FROM THE DATE THE AUTHORITY IS RESTRUCTURED AND CEASES TO BE A CREATION OF THE STATE; TO AMEND SECTION 31</w:t>
      </w:r>
      <w:r>
        <w:rPr>
          <w:rFonts w:eastAsia="Times New Roman" w:cs="Times New Roman"/>
          <w:szCs w:val="20"/>
        </w:rPr>
        <w:noBreakHyphen/>
        <w:t>12</w:t>
      </w:r>
      <w:r>
        <w:rPr>
          <w:rFonts w:eastAsia="Times New Roman" w:cs="Times New Roman"/>
          <w:szCs w:val="20"/>
        </w:rPr>
        <w:noBreakHyphen/>
        <w:t>300, RELATING TO CERTIFICATION OF THE ASSESSED VALUE OF THE TAXABLE PROPERTY IN A PROJECT AREA AND DETERMINATION OF PERCENTAGES REPRESENTING EACH TAXING DISTRICT, SO AS TO PROVIDE THAT THE VALUE BE DETERMINED AS OF THE AUTHORITY’S ORIGINAL CREATION OR THE DATE THE PROPERTIES WERE SCHEDULED FOR DISPOSAL, WITHOUT REGARD TO RESTRUCTURING; TO AMEND SECTION 61</w:t>
      </w:r>
      <w:r>
        <w:rPr>
          <w:rFonts w:eastAsia="Times New Roman" w:cs="Times New Roman"/>
          <w:szCs w:val="20"/>
        </w:rPr>
        <w:noBreakHyphen/>
        <w:t>4</w:t>
      </w:r>
      <w:r>
        <w:rPr>
          <w:rFonts w:eastAsia="Times New Roman" w:cs="Times New Roman"/>
          <w:szCs w:val="20"/>
        </w:rPr>
        <w:noBreakHyphen/>
        <w:t>510, AS AMENDED, RELATING TO DISTRIBUTION OF FEES FROM BEER AND WINE PERMITS, SO AS TO PROVIDE FOR A SPECIAL FUND TO SUPPORT A FEDERAL DEFENSE FACILITIES REDEVELOPMENT AUTHORITY; AND TO PROVIDE FOR TRANSITIONAL OPERATION OF AN EXISTING FEDERAL DEFENSE FACILITIES REDEVELOPMENT AUTHORITY.</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30(1)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‘Area of operation’ means the area within the territorial boundaries of the counties </w:t>
      </w:r>
      <w:r>
        <w:rPr>
          <w:rFonts w:eastAsia="Times New Roman" w:cs="Times New Roman"/>
          <w:szCs w:val="20"/>
          <w:u w:val="single"/>
        </w:rPr>
        <w:t>and municipalities</w:t>
      </w:r>
      <w:r>
        <w:rPr>
          <w:rFonts w:eastAsia="Times New Roman" w:cs="Times New Roman"/>
          <w:szCs w:val="20"/>
        </w:rPr>
        <w:t xml:space="preserve"> entitled to representation on an authority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 consists</w:t>
      </w:r>
      <w:r>
        <w:rPr>
          <w:rFonts w:eastAsia="Times New Roman" w:cs="Times New Roman"/>
          <w:szCs w:val="20"/>
        </w:rPr>
        <w:t xml:space="preserve"> </w:t>
      </w:r>
      <w:r>
        <w:rPr>
          <w:rFonts w:eastAsia="Times New Roman" w:cs="Times New Roman"/>
          <w:szCs w:val="20"/>
          <w:u w:val="single"/>
        </w:rPr>
        <w:t>consisting</w:t>
      </w:r>
      <w:r>
        <w:rPr>
          <w:rFonts w:eastAsia="Times New Roman" w:cs="Times New Roman"/>
          <w:szCs w:val="20"/>
        </w:rPr>
        <w:t xml:space="preserve"> of both the real property to be disposed of by an authority as well as </w:t>
      </w:r>
      <w:r>
        <w:rPr>
          <w:rFonts w:eastAsia="Times New Roman" w:cs="Times New Roman"/>
          <w:strike/>
          <w:szCs w:val="20"/>
        </w:rPr>
        <w:t>any</w:t>
      </w:r>
      <w:r>
        <w:rPr>
          <w:rFonts w:eastAsia="Times New Roman" w:cs="Times New Roman"/>
          <w:szCs w:val="20"/>
        </w:rPr>
        <w:t xml:space="preserve"> other properties disposed of directly by the federal government to public or private persons or entities, other than disposal to the federal government for other defense uses, in connection with military installation closure and realignment or other federal defense site closure, realignment, or drastic downsizing, together with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areas of the surrounding community as may need planning for infrastructure improvements to support the redevelopment project area.” </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40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 xml:space="preserve">The Governor may create separate and distinct bodies corporate and politic to be known as redevelopment authorities to oversee the disposition of real and personal federal property that has been or </w:t>
      </w:r>
      <w:r>
        <w:rPr>
          <w:rFonts w:eastAsia="Times New Roman" w:cs="Times New Roman"/>
          <w:strike/>
          <w:szCs w:val="20"/>
        </w:rPr>
        <w:t>will</w:t>
      </w:r>
      <w:r>
        <w:rPr>
          <w:rFonts w:eastAsia="Times New Roman" w:cs="Times New Roman"/>
          <w:szCs w:val="20"/>
        </w:rPr>
        <w:t xml:space="preserve"> </w:t>
      </w:r>
      <w:r>
        <w:rPr>
          <w:rFonts w:eastAsia="Times New Roman" w:cs="Times New Roman"/>
          <w:szCs w:val="20"/>
          <w:u w:val="single"/>
        </w:rPr>
        <w:t>is to</w:t>
      </w:r>
      <w:r>
        <w:rPr>
          <w:rFonts w:eastAsia="Times New Roman" w:cs="Times New Roman"/>
          <w:szCs w:val="20"/>
        </w:rPr>
        <w:t xml:space="preserve"> be turned over to the State or to the redevelopment authority as referred to in the Defense Base Closure and Realignment Act, 10 U.S.C. 2901, et seq., as it may be amended from time to time, by the federal government or real and personal federal property that has been designated as surplus property by the federal government and is to be disposed of by the State or the redevelopment authority as a result of the closure, realignment, or drastic downsizing of federal defense facilities in the State.  </w:t>
      </w:r>
      <w:r>
        <w:rPr>
          <w:rFonts w:eastAsia="Times New Roman" w:cs="Times New Roman"/>
          <w:strike/>
          <w:szCs w:val="20"/>
        </w:rPr>
        <w:t>No more than</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one authority may be created with jurisdiction over a single federal military installation or other federal defense site.  Only one authority may be designated within a county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Governor shall exercise his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chapter so as to ensure that the composition of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authority created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section is structured or restructured in accordance with the requirements contained in this section as additional properties </w:t>
      </w:r>
      <w:r>
        <w:rPr>
          <w:rFonts w:eastAsia="Times New Roman" w:cs="Times New Roman"/>
          <w:strike/>
          <w:szCs w:val="20"/>
        </w:rPr>
        <w:t>may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added </w:t>
      </w:r>
      <w:r>
        <w:rPr>
          <w:rFonts w:eastAsia="Times New Roman" w:cs="Times New Roman"/>
          <w:strike/>
          <w:szCs w:val="20"/>
        </w:rPr>
        <w:t>through other closures, realignments, and drastic downsizings</w:t>
      </w:r>
      <w:r>
        <w:rPr>
          <w:rFonts w:eastAsia="Times New Roman" w:cs="Times New Roman"/>
          <w:szCs w:val="20"/>
        </w:rPr>
        <w:t>, as properties are disposed of</w:t>
      </w:r>
      <w:r>
        <w:rPr>
          <w:rFonts w:eastAsia="Times New Roman" w:cs="Times New Roman"/>
          <w:szCs w:val="20"/>
          <w:u w:val="single"/>
        </w:rPr>
        <w:t>,</w:t>
      </w:r>
      <w:r>
        <w:rPr>
          <w:rFonts w:eastAsia="Times New Roman" w:cs="Times New Roman"/>
          <w:szCs w:val="20"/>
        </w:rPr>
        <w:t xml:space="preserve"> and as federally defined Metropolitan Statistical Areas (MSA’s) are redefined, from time to time.  If an authority is designated, it is the sole representative of the State for negotiations with the appropriate federal authority for reuse and disposal of property.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the federal property subject to disposal is contained wholly within one county, which county does not lie in an MSA extending over more than one South Carolina county and is not included in a multicounty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as provided in</w:t>
      </w:r>
      <w:r>
        <w:rPr>
          <w:rFonts w:eastAsia="Times New Roman" w:cs="Times New Roman"/>
          <w:szCs w:val="20"/>
        </w:rPr>
        <w:t xml:space="preserve"> subsections (C) or (D), the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w:t>
      </w:r>
      <w:r>
        <w:rPr>
          <w:rFonts w:eastAsia="Times New Roman" w:cs="Times New Roman"/>
          <w:strike/>
          <w:szCs w:val="20"/>
        </w:rPr>
        <w:t>include</w:t>
      </w:r>
      <w:r>
        <w:rPr>
          <w:rFonts w:eastAsia="Times New Roman" w:cs="Times New Roman"/>
          <w:szCs w:val="20"/>
        </w:rPr>
        <w:t xml:space="preserve"> </w:t>
      </w:r>
      <w:r>
        <w:rPr>
          <w:rFonts w:eastAsia="Times New Roman" w:cs="Times New Roman"/>
          <w:szCs w:val="20"/>
          <w:u w:val="single"/>
        </w:rPr>
        <w:t>consist of</w:t>
      </w:r>
      <w:r>
        <w:rPr>
          <w:rFonts w:eastAsia="Times New Roman" w:cs="Times New Roman"/>
          <w:szCs w:val="20"/>
        </w:rPr>
        <w:t>:</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the State, nominated by a majority of the Senate and a majority of the House, who must be appointed by the Governor;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three representatives of the county</w:t>
      </w:r>
      <w:r>
        <w:rPr>
          <w:rFonts w:eastAsia="Times New Roman" w:cs="Times New Roman"/>
          <w:szCs w:val="20"/>
          <w:u w:val="single"/>
        </w:rPr>
        <w:t>,</w:t>
      </w:r>
      <w:r>
        <w:rPr>
          <w:rFonts w:eastAsia="Times New Roman" w:cs="Times New Roman"/>
          <w:szCs w:val="20"/>
        </w:rPr>
        <w:t xml:space="preserve"> appointed by the county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three representatives of each municipality </w:t>
      </w:r>
      <w:r>
        <w:rPr>
          <w:rFonts w:eastAsia="Times New Roman" w:cs="Times New Roman"/>
          <w:strike/>
          <w:szCs w:val="20"/>
        </w:rPr>
        <w:t>in which the municipality’s</w:t>
      </w:r>
      <w:r>
        <w:rPr>
          <w:rFonts w:eastAsia="Times New Roman" w:cs="Times New Roman"/>
          <w:szCs w:val="20"/>
        </w:rPr>
        <w:t xml:space="preserve"> </w:t>
      </w:r>
      <w:r>
        <w:rPr>
          <w:rFonts w:eastAsia="Times New Roman" w:cs="Times New Roman"/>
          <w:szCs w:val="20"/>
          <w:u w:val="single"/>
        </w:rPr>
        <w:t>whose</w:t>
      </w:r>
      <w:r>
        <w:rPr>
          <w:rFonts w:eastAsia="Times New Roman" w:cs="Times New Roman"/>
          <w:szCs w:val="20"/>
        </w:rPr>
        <w:t xml:space="preserve"> boundaries contain all or a portion of the federal defense properties scheduled for disposal, appointed by the municipal governing body; and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at</w:t>
      </w:r>
      <w:r>
        <w:rPr>
          <w:rFonts w:eastAsia="Times New Roman" w:cs="Times New Roman"/>
          <w:szCs w:val="20"/>
        </w:rPr>
        <w:noBreakHyphen/>
        <w:t xml:space="preserve">large appointment by the Governor, who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resident of the county.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If the federal property subject to disposal is contained within more than one county, with no portion of the counties lying within an MSA </w:t>
      </w:r>
      <w:r>
        <w:rPr>
          <w:rFonts w:eastAsia="Times New Roman" w:cs="Times New Roman"/>
          <w:strike/>
          <w:szCs w:val="20"/>
        </w:rPr>
        <w:t>which extends</w:t>
      </w:r>
      <w:r>
        <w:rPr>
          <w:rFonts w:eastAsia="Times New Roman" w:cs="Times New Roman"/>
          <w:szCs w:val="20"/>
        </w:rPr>
        <w:t xml:space="preserve"> </w:t>
      </w:r>
      <w:r>
        <w:rPr>
          <w:rFonts w:eastAsia="Times New Roman" w:cs="Times New Roman"/>
          <w:szCs w:val="20"/>
          <w:u w:val="single"/>
        </w:rPr>
        <w:t>extending</w:t>
      </w:r>
      <w:r>
        <w:rPr>
          <w:rFonts w:eastAsia="Times New Roman" w:cs="Times New Roman"/>
          <w:szCs w:val="20"/>
        </w:rPr>
        <w:t xml:space="preserve"> over more than one South Carolina county, the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trike/>
          <w:szCs w:val="20"/>
        </w:rPr>
        <w:t xml:space="preserve"> include</w:t>
      </w:r>
      <w:r>
        <w:rPr>
          <w:rFonts w:eastAsia="Times New Roman" w:cs="Times New Roman"/>
          <w:szCs w:val="20"/>
        </w:rPr>
        <w:t xml:space="preserve"> </w:t>
      </w:r>
      <w:r>
        <w:rPr>
          <w:rFonts w:eastAsia="Times New Roman" w:cs="Times New Roman"/>
          <w:szCs w:val="20"/>
          <w:u w:val="single"/>
        </w:rPr>
        <w:t>consist of</w:t>
      </w:r>
      <w:r>
        <w:rPr>
          <w:rFonts w:eastAsia="Times New Roman" w:cs="Times New Roman"/>
          <w:szCs w:val="20"/>
        </w:rPr>
        <w:t>:</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the State</w:t>
      </w:r>
      <w:r>
        <w:rPr>
          <w:rFonts w:eastAsia="Times New Roman" w:cs="Times New Roman"/>
          <w:szCs w:val="20"/>
          <w:u w:val="single"/>
        </w:rPr>
        <w:t>,</w:t>
      </w:r>
      <w:r>
        <w:rPr>
          <w:rFonts w:eastAsia="Times New Roman" w:cs="Times New Roman"/>
          <w:szCs w:val="20"/>
        </w:rPr>
        <w:t xml:space="preserve"> nominated by a majority of the Senate and a majority of the House, who must be appointed by the Governor;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two representatives of each county</w:t>
      </w:r>
      <w:r>
        <w:rPr>
          <w:rFonts w:eastAsia="Times New Roman" w:cs="Times New Roman"/>
          <w:szCs w:val="20"/>
          <w:u w:val="single"/>
        </w:rPr>
        <w:t>,</w:t>
      </w:r>
      <w:r>
        <w:rPr>
          <w:rFonts w:eastAsia="Times New Roman" w:cs="Times New Roman"/>
          <w:szCs w:val="20"/>
        </w:rPr>
        <w:t xml:space="preserve"> appointed by the respective county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two representatives of each municipality </w:t>
      </w:r>
      <w:r>
        <w:rPr>
          <w:rFonts w:eastAsia="Times New Roman" w:cs="Times New Roman"/>
          <w:strike/>
          <w:szCs w:val="20"/>
        </w:rPr>
        <w:t>in which the municipality’s</w:t>
      </w:r>
      <w:r>
        <w:rPr>
          <w:rFonts w:eastAsia="Times New Roman" w:cs="Times New Roman"/>
          <w:szCs w:val="20"/>
        </w:rPr>
        <w:t xml:space="preserve"> </w:t>
      </w:r>
      <w:r>
        <w:rPr>
          <w:rFonts w:eastAsia="Times New Roman" w:cs="Times New Roman"/>
          <w:szCs w:val="20"/>
          <w:u w:val="single"/>
        </w:rPr>
        <w:t>whose</w:t>
      </w:r>
      <w:r>
        <w:rPr>
          <w:rFonts w:eastAsia="Times New Roman" w:cs="Times New Roman"/>
          <w:szCs w:val="20"/>
        </w:rPr>
        <w:t xml:space="preserve"> boundaries contain all or a portion of the federal defense properties scheduled for disposal, appointed by the respective municipal governing body; and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at</w:t>
      </w:r>
      <w:r>
        <w:rPr>
          <w:rFonts w:eastAsia="Times New Roman" w:cs="Times New Roman"/>
          <w:szCs w:val="20"/>
        </w:rPr>
        <w:noBreakHyphen/>
        <w:t xml:space="preserve">large appointment by the Governor, who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resident of one of the counties.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 xml:space="preserve">If the federal property subject to disposal is contained wholly or partially within a county, all or a portion of which lies in an MSA which extends over more than one South Carolina county </w:t>
      </w:r>
      <w:r>
        <w:rPr>
          <w:rFonts w:eastAsia="Times New Roman" w:cs="Times New Roman"/>
          <w:szCs w:val="20"/>
          <w:u w:val="single"/>
        </w:rPr>
        <w:t>and the major portion of improvements on the federal property subject to disposal lie within a municipality’s boundary</w:t>
      </w:r>
      <w:r>
        <w:rPr>
          <w:rFonts w:eastAsia="Times New Roman" w:cs="Times New Roman"/>
          <w:szCs w:val="20"/>
        </w:rPr>
        <w:t xml:space="preserve">, the authority </w:t>
      </w:r>
      <w:r>
        <w:rPr>
          <w:rFonts w:eastAsia="Times New Roman" w:cs="Times New Roman"/>
          <w:strike/>
          <w:szCs w:val="20"/>
        </w:rPr>
        <w:t>must include:</w:t>
      </w:r>
      <w:r>
        <w:rPr>
          <w:rFonts w:eastAsia="Times New Roman" w:cs="Times New Roman"/>
          <w:szCs w:val="20"/>
        </w:rPr>
        <w:t xml:space="preserve"> </w:t>
      </w:r>
      <w:r>
        <w:rPr>
          <w:rFonts w:eastAsia="Times New Roman" w:cs="Times New Roman"/>
          <w:szCs w:val="20"/>
          <w:u w:val="single"/>
        </w:rPr>
        <w:t>shall consist of</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one representative who is a resident of each South Carolina county which contains all or a portion of the federal property subject to disposal, appointed by the Governor;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one representative who is a resident of each South Carolina county in the MSA not entitled to a resident representative under subsection (D)(1)(a), appointed by the Governor;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additional</w:t>
      </w:r>
      <w:r>
        <w:rPr>
          <w:rFonts w:eastAsia="Times New Roman" w:cs="Times New Roman"/>
          <w:szCs w:val="20"/>
        </w:rPr>
        <w:t xml:space="preserve"> </w:t>
      </w:r>
      <w:r>
        <w:rPr>
          <w:rFonts w:eastAsia="Times New Roman" w:cs="Times New Roman"/>
          <w:szCs w:val="20"/>
          <w:u w:val="single"/>
        </w:rPr>
        <w:t>seven</w:t>
      </w:r>
      <w:r>
        <w:rPr>
          <w:rFonts w:eastAsia="Times New Roman" w:cs="Times New Roman"/>
          <w:szCs w:val="20"/>
        </w:rPr>
        <w:t xml:space="preserve"> representatives </w:t>
      </w:r>
      <w:r>
        <w:rPr>
          <w:rFonts w:eastAsia="Times New Roman" w:cs="Times New Roman"/>
          <w:strike/>
          <w:szCs w:val="20"/>
        </w:rPr>
        <w:t xml:space="preserve">who are residents of the respective municipalities as may be necessary to provide any </w:t>
      </w:r>
      <w:r>
        <w:rPr>
          <w:rFonts w:eastAsia="Times New Roman" w:cs="Times New Roman"/>
          <w:szCs w:val="20"/>
          <w:u w:val="single"/>
        </w:rPr>
        <w:t>appointed by the municipal governing body of the</w:t>
      </w:r>
      <w:r>
        <w:rPr>
          <w:rFonts w:eastAsia="Times New Roman" w:cs="Times New Roman"/>
          <w:szCs w:val="20"/>
        </w:rPr>
        <w:t xml:space="preserve"> municipality within whose boundaries the major portion of </w:t>
      </w:r>
      <w:r>
        <w:rPr>
          <w:rFonts w:eastAsia="Times New Roman" w:cs="Times New Roman"/>
          <w:szCs w:val="20"/>
          <w:u w:val="single"/>
        </w:rPr>
        <w:t>improvements on the</w:t>
      </w:r>
      <w:r>
        <w:rPr>
          <w:rFonts w:eastAsia="Times New Roman" w:cs="Times New Roman"/>
          <w:szCs w:val="20"/>
        </w:rPr>
        <w:t xml:space="preserve"> </w:t>
      </w:r>
      <w:r>
        <w:rPr>
          <w:rFonts w:eastAsia="Times New Roman" w:cs="Times New Roman"/>
          <w:szCs w:val="20"/>
          <w:u w:val="single"/>
        </w:rPr>
        <w:t>federal property subject to disposal lie.</w:t>
      </w:r>
      <w:r>
        <w:rPr>
          <w:rFonts w:eastAsia="Times New Roman" w:cs="Times New Roman"/>
          <w:szCs w:val="20"/>
        </w:rPr>
        <w:t xml:space="preserve">  </w:t>
      </w:r>
      <w:r>
        <w:rPr>
          <w:rFonts w:eastAsia="Times New Roman" w:cs="Times New Roman"/>
          <w:szCs w:val="20"/>
          <w:u w:val="single"/>
        </w:rPr>
        <w:t>To the extent that the composition of the existing governing board of a redevelopment authority whose board composition is provided for in this subsection does not reflect these provisions, it may be restructured pursuant to the provisions of this subsection.</w:t>
      </w:r>
      <w:r>
        <w:rPr>
          <w:rFonts w:eastAsia="Times New Roman" w:cs="Times New Roman"/>
          <w:szCs w:val="20"/>
        </w:rPr>
        <w:t xml:space="preserve">  </w:t>
      </w:r>
      <w:r>
        <w:rPr>
          <w:rFonts w:eastAsia="Times New Roman" w:cs="Times New Roman"/>
          <w:strike/>
          <w:szCs w:val="20"/>
        </w:rPr>
        <w:t>lies with one less than the collective number of representatives provided for in subsections (D)(1)(a), (D)(1)(b), and (D)(1)(e) appointed by the Governor from a slate of candidates submitted by the municipal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if the major portion of properties scheduled for disposal lies within a single county but not within the boundaries of any single municipality, such additional representatives as may be necessary to provide that county with one less than the collective number of representatives provided for in subsections (D)(1)(a), (D)(1)(b), and (D)(1)(e) appointed by the county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one at</w:t>
      </w:r>
      <w:r>
        <w:rPr>
          <w:rFonts w:eastAsia="Times New Roman" w:cs="Times New Roman"/>
          <w:strike/>
          <w:szCs w:val="20"/>
        </w:rPr>
        <w:noBreakHyphen/>
        <w:t>large appointment by the Governor, who shall be a resident of one of the counties which lie, wholly or partially, in the MSA which is entitled to representation under subsections (D)(1)(a), (D)(1)(b),or (D)(1)(d);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the Governor, in his discretion, may accept or reject the name of any individual submitted for his consideration pursuant to subsection (D)(1)(c). If the name of an individual is rejected or is not submitted to the Senate as provided in subsection (H), the municipality may submit the name of another individual for the Governor’s consideration as provided in subsection (D)(1)(c);  and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notwithstanding any other provision of law, an individual appointed pursuant to subsections (D)(1)(a) through (D)(1)(e) may be removed as provided in Section 1</w:t>
      </w:r>
      <w:r>
        <w:rPr>
          <w:rFonts w:eastAsia="Times New Roman" w:cs="Times New Roman"/>
          <w:strike/>
          <w:szCs w:val="20"/>
        </w:rPr>
        <w:noBreakHyphen/>
        <w:t>3</w:t>
      </w:r>
      <w:r>
        <w:rPr>
          <w:rFonts w:eastAsia="Times New Roman" w:cs="Times New Roman"/>
          <w:strike/>
          <w:szCs w:val="20"/>
        </w:rPr>
        <w:noBreakHyphen/>
        <w:t>240(B).</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another provision of law, upon the passage of an ordinance or resolution creating or restructuring an authority to bring it into compliance with the current provisions of subsection (D)(1), a redevelopment authority provided for in subsection (D)(1) is considered to be restructured by the municipality and ceases to be a creation of the State.  An authority created or restructured pursuant to this subsection is a distinct body corporate and politic established with the same powers, duties, and responsibilities exercised by other redevelopment authorities established pursuant to this chapter, mutatis mutandi.</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Notwithstanding another provision of law, a redevelopment authority provided for in subsection (D)(1) and (D)(2) is not considered to be a state agency subject to the provisions of law that govern the transactions of state agencies including, but not limited to, Sections 1</w:t>
      </w:r>
      <w:r>
        <w:rPr>
          <w:rFonts w:eastAsia="Times New Roman" w:cs="Times New Roman"/>
          <w:szCs w:val="20"/>
          <w:u w:val="single"/>
        </w:rPr>
        <w:noBreakHyphen/>
        <w:t>11</w:t>
      </w:r>
      <w:r>
        <w:rPr>
          <w:rFonts w:eastAsia="Times New Roman" w:cs="Times New Roman"/>
          <w:szCs w:val="20"/>
          <w:u w:val="single"/>
        </w:rPr>
        <w:noBreakHyphen/>
        <w:t>55, 1</w:t>
      </w:r>
      <w:r>
        <w:rPr>
          <w:rFonts w:eastAsia="Times New Roman" w:cs="Times New Roman"/>
          <w:szCs w:val="20"/>
          <w:u w:val="single"/>
        </w:rPr>
        <w:noBreakHyphen/>
        <w:t>11</w:t>
      </w:r>
      <w:r>
        <w:rPr>
          <w:rFonts w:eastAsia="Times New Roman" w:cs="Times New Roman"/>
          <w:szCs w:val="20"/>
          <w:u w:val="single"/>
        </w:rPr>
        <w:noBreakHyphen/>
        <w:t>56, 1</w:t>
      </w:r>
      <w:r>
        <w:rPr>
          <w:rFonts w:eastAsia="Times New Roman" w:cs="Times New Roman"/>
          <w:szCs w:val="20"/>
          <w:u w:val="single"/>
        </w:rPr>
        <w:noBreakHyphen/>
        <w:t>11</w:t>
      </w:r>
      <w:r>
        <w:rPr>
          <w:rFonts w:eastAsia="Times New Roman" w:cs="Times New Roman"/>
          <w:szCs w:val="20"/>
          <w:u w:val="single"/>
        </w:rPr>
        <w:noBreakHyphen/>
        <w:t>57, 1</w:t>
      </w:r>
      <w:r>
        <w:rPr>
          <w:rFonts w:eastAsia="Times New Roman" w:cs="Times New Roman"/>
          <w:szCs w:val="20"/>
          <w:u w:val="single"/>
        </w:rPr>
        <w:noBreakHyphen/>
        <w:t>11</w:t>
      </w:r>
      <w:r>
        <w:rPr>
          <w:rFonts w:eastAsia="Times New Roman" w:cs="Times New Roman"/>
          <w:szCs w:val="20"/>
          <w:u w:val="single"/>
        </w:rPr>
        <w:noBreakHyphen/>
        <w:t>65, 31</w:t>
      </w:r>
      <w:r>
        <w:rPr>
          <w:rFonts w:eastAsia="Times New Roman" w:cs="Times New Roman"/>
          <w:szCs w:val="20"/>
          <w:u w:val="single"/>
        </w:rPr>
        <w:noBreakHyphen/>
        <w:t>12</w:t>
      </w:r>
      <w:r>
        <w:rPr>
          <w:rFonts w:eastAsia="Times New Roman" w:cs="Times New Roman"/>
          <w:szCs w:val="20"/>
          <w:u w:val="single"/>
        </w:rPr>
        <w:noBreakHyphen/>
        <w:t>120 or Chapter 35, Title 11, South Carolina Consolidated Procurement Code.</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To the extent of the value of real and personal federal property that has been or is to be turned over to, acquired, leased, or purchased by a redevelopment authority previously created pursuant to the previously applicable provisions of subsection (D)(1) and later restructured to comply with the current provisions of subsection (D)(1) and to the extent of the value of real and personal federal property designated as surplus property by the federal government and to be disposed of by the redevelopment authority, the redevelopment authority shall provide the defense for and indemnify against and hold the State harmless for all pending and future litigation and claims arising out of or in connection with transactions or events involving real property or personal property or any related activities that occurred before the date it ceases to be a creation of the State as provided in subsection (D)(2).</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All assets and liabilities of an authority created pursuant to previous provisions of subsection (D)(1) are retained by the authority upon its being restructured to bring it into compliance with the current provisions of subsection (D)(1).  Additionally, all income and revenue designated for the originally created authority are retained by the restructured authority.  The redevelopment authority shall provide the defense for and indemnify against and hold harmless the municipality, identified in subsection (D)(1), for all pending and future litigation and claims arising out of or in connection with transactions, events, or activities of the authority in existence on the effective date of this subsection, or in the case of an authority created or restructured pursuant to subsection (D)(2), as of the date of the creation or restructuring.</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 member of an authority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an elected official or hold another office of honor or profit of this State or </w:t>
      </w:r>
      <w:r>
        <w:rPr>
          <w:rFonts w:eastAsia="Times New Roman" w:cs="Times New Roman"/>
          <w:strike/>
          <w:szCs w:val="20"/>
        </w:rPr>
        <w:t>any of</w:t>
      </w:r>
      <w:r>
        <w:rPr>
          <w:rFonts w:eastAsia="Times New Roman" w:cs="Times New Roman"/>
          <w:szCs w:val="20"/>
        </w:rPr>
        <w:t xml:space="preserve"> its political subdivisions while serving on the authority as prohibited by the South Carolina Constitution.  Each member of an authority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comply with the provisions of Chapter 13</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8 </w:t>
      </w:r>
      <w:r>
        <w:rPr>
          <w:rFonts w:eastAsia="Times New Roman" w:cs="Times New Roman"/>
          <w:strike/>
          <w:szCs w:val="20"/>
        </w:rPr>
        <w:t>of the 1976 Code</w:t>
      </w:r>
      <w:r>
        <w:rPr>
          <w:rFonts w:eastAsia="Times New Roman" w:cs="Times New Roman"/>
          <w:szCs w:val="20"/>
        </w:rPr>
        <w:t xml:space="preserve"> including the requirement to file a statement of economic interests.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All executive orders of the Governor establishing any authority, commission, committee, or other entity relating to or concerned with the effects of the closure of a federal military installation or other federal defense site expire on March 1, 1995.  The Governor may issue no executive order relating to the purposes of this chapter except to create or to modify the membership of an authority as provided in Section 31</w:t>
      </w:r>
      <w:r>
        <w:rPr>
          <w:rFonts w:eastAsia="Times New Roman" w:cs="Times New Roman"/>
          <w:szCs w:val="20"/>
        </w:rPr>
        <w:noBreakHyphen/>
        <w:t>12</w:t>
      </w:r>
      <w:r>
        <w:rPr>
          <w:rFonts w:eastAsia="Times New Roman" w:cs="Times New Roman"/>
          <w:szCs w:val="20"/>
        </w:rPr>
        <w:noBreakHyphen/>
        <w:t>40.</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Upon the creation of an authority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this chapter with regard to property scheduled for disposal which was also the subject of an executive order of the Governor issued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effective date of this act, the authority, by its resolution, may assume all or part of the responsibilities and activities of the entity previously authorized by the executive order.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 xml:space="preserve">The appointments made pursuant to subsections (B)(2), (B)(3), and (B)(4), </w:t>
      </w:r>
      <w:r>
        <w:rPr>
          <w:rFonts w:eastAsia="Times New Roman" w:cs="Times New Roman"/>
          <w:szCs w:val="20"/>
          <w:u w:val="single"/>
        </w:rPr>
        <w:t>and</w:t>
      </w:r>
      <w:r>
        <w:rPr>
          <w:rFonts w:eastAsia="Times New Roman" w:cs="Times New Roman"/>
          <w:szCs w:val="20"/>
        </w:rPr>
        <w:t xml:space="preserve"> subsections (C)(2), (C)(3), and (C)(4)</w:t>
      </w:r>
      <w:r>
        <w:rPr>
          <w:rFonts w:eastAsia="Times New Roman" w:cs="Times New Roman"/>
          <w:strike/>
          <w:szCs w:val="20"/>
        </w:rPr>
        <w:t>, and subsections (D)(1)(a), (D)(1)(b), (D)(1)(c), (D)(1)(d), and (D)(1)(e)</w:t>
      </w:r>
      <w:r>
        <w:rPr>
          <w:rFonts w:eastAsia="Times New Roman" w:cs="Times New Roman"/>
          <w:szCs w:val="20"/>
        </w:rPr>
        <w:t xml:space="preserve"> are subject to the advice and consent of the Senate.</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(I)</w:t>
      </w:r>
      <w:r>
        <w:rPr>
          <w:rFonts w:eastAsia="Times New Roman" w:cs="Times New Roman"/>
          <w:szCs w:val="20"/>
        </w:rPr>
        <w:tab/>
        <w:t xml:space="preserve">An authority also may be created </w:t>
      </w:r>
      <w:r>
        <w:rPr>
          <w:rFonts w:eastAsia="Times New Roman" w:cs="Times New Roman"/>
          <w:szCs w:val="20"/>
          <w:u w:val="single"/>
        </w:rPr>
        <w:t>or its composition restructured to comply with the requirements of this section</w:t>
      </w:r>
      <w:r>
        <w:rPr>
          <w:rFonts w:eastAsia="Times New Roman" w:cs="Times New Roman"/>
          <w:szCs w:val="20"/>
        </w:rPr>
        <w:t xml:space="preserve"> by </w:t>
      </w:r>
      <w:r>
        <w:rPr>
          <w:rFonts w:eastAsia="Times New Roman" w:cs="Times New Roman"/>
          <w:szCs w:val="20"/>
          <w:u w:val="single"/>
        </w:rPr>
        <w:t>ordinances or</w:t>
      </w:r>
      <w:r>
        <w:rPr>
          <w:rFonts w:eastAsia="Times New Roman" w:cs="Times New Roman"/>
          <w:szCs w:val="20"/>
        </w:rPr>
        <w:t xml:space="preserve"> resolutions of municipalities and of counties eligible to make the majority of the appointments to </w:t>
      </w:r>
      <w:r>
        <w:rPr>
          <w:rFonts w:eastAsia="Times New Roman" w:cs="Times New Roman"/>
          <w:strike/>
          <w:szCs w:val="20"/>
        </w:rPr>
        <w:t>an</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authority pursuant to </w:t>
      </w:r>
      <w:r>
        <w:rPr>
          <w:rFonts w:eastAsia="Times New Roman" w:cs="Times New Roman"/>
          <w:szCs w:val="20"/>
          <w:u w:val="single"/>
        </w:rPr>
        <w:t>the current provisions of</w:t>
      </w:r>
      <w:r>
        <w:rPr>
          <w:rFonts w:eastAsia="Times New Roman" w:cs="Times New Roman"/>
          <w:szCs w:val="20"/>
        </w:rPr>
        <w:t xml:space="preserve"> subsection (B)</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 xml:space="preserve">or </w:t>
      </w:r>
      <w:r>
        <w:rPr>
          <w:rFonts w:eastAsia="Times New Roman" w:cs="Times New Roman"/>
          <w:szCs w:val="20"/>
        </w:rPr>
        <w:t xml:space="preserve">(C) </w:t>
      </w:r>
      <w:r>
        <w:rPr>
          <w:rFonts w:eastAsia="Times New Roman" w:cs="Times New Roman"/>
          <w:szCs w:val="20"/>
          <w:u w:val="single"/>
        </w:rPr>
        <w:t>or (D)</w:t>
      </w:r>
      <w:r>
        <w:rPr>
          <w:rFonts w:eastAsia="Times New Roman" w:cs="Times New Roman"/>
          <w:szCs w:val="20"/>
        </w:rPr>
        <w:t xml:space="preserve">, respectively.  </w:t>
      </w:r>
      <w:r>
        <w:rPr>
          <w:rFonts w:eastAsia="Times New Roman" w:cs="Times New Roman"/>
          <w:szCs w:val="20"/>
          <w:u w:val="single"/>
        </w:rPr>
        <w:t>If the restructuring results in the appointment of all redevelopment authority board members by a municipal governing body pursuant to subsection (D)(1), the existing members of the board may serve out the remainder of their appointed terms, unless removed by the municipal governing body for cause upon the grounds and pursuant to the procedures provided in Section 31</w:t>
      </w:r>
      <w:r>
        <w:rPr>
          <w:rFonts w:eastAsia="Times New Roman" w:cs="Times New Roman"/>
          <w:szCs w:val="20"/>
          <w:u w:val="single"/>
        </w:rPr>
        <w:noBreakHyphen/>
        <w:t>12</w:t>
      </w:r>
      <w:r>
        <w:rPr>
          <w:rFonts w:eastAsia="Times New Roman" w:cs="Times New Roman"/>
          <w:szCs w:val="20"/>
          <w:u w:val="single"/>
        </w:rPr>
        <w:noBreakHyphen/>
        <w:t>50(B).</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(J)</w:t>
      </w:r>
      <w:r>
        <w:rPr>
          <w:rFonts w:eastAsia="Times New Roman" w:cs="Times New Roman"/>
          <w:szCs w:val="20"/>
        </w:rPr>
        <w:tab/>
        <w:t>A vacancy occurring during the recess of the Senate may be filled by an interim appointment by the appointing body or officer.  The Senate must be notified of the interim appointment, which must be submitted no later than the end of the third week of its next regular session.  The Senate may give or withhold its advice and consent to an appointment at any time after submission of the appointment, provided</w:t>
      </w:r>
      <w:r>
        <w:rPr>
          <w:rFonts w:eastAsia="Times New Roman" w:cs="Times New Roman"/>
          <w:strike/>
          <w:szCs w:val="20"/>
        </w:rPr>
        <w:t>,</w:t>
      </w:r>
      <w:r>
        <w:rPr>
          <w:rFonts w:eastAsia="Times New Roman" w:cs="Times New Roman"/>
          <w:szCs w:val="20"/>
        </w:rPr>
        <w:t xml:space="preserve"> that</w:t>
      </w:r>
      <w:r>
        <w:rPr>
          <w:rFonts w:eastAsia="Times New Roman" w:cs="Times New Roman"/>
          <w:szCs w:val="20"/>
          <w:u w:val="single"/>
        </w:rPr>
        <w:t>,</w:t>
      </w:r>
      <w:r>
        <w:rPr>
          <w:rFonts w:eastAsia="Times New Roman" w:cs="Times New Roman"/>
          <w:szCs w:val="20"/>
        </w:rPr>
        <w:t xml:space="preserve"> if the Senate does not advise and consent to an appointment before sine die adjournment of that session, the office remains vacant and the interim appointment does not serve in holdover status notwithstanding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provision of law to the contrary.  </w:t>
      </w:r>
      <w:r>
        <w:rPr>
          <w:rFonts w:eastAsia="Times New Roman" w:cs="Times New Roman"/>
          <w:strike/>
          <w:szCs w:val="20"/>
        </w:rPr>
        <w:t>In no event may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same individual </w:t>
      </w:r>
      <w:r>
        <w:rPr>
          <w:rFonts w:eastAsia="Times New Roman" w:cs="Times New Roman"/>
          <w:szCs w:val="20"/>
          <w:u w:val="single"/>
        </w:rPr>
        <w:t>must not</w:t>
      </w:r>
      <w:r>
        <w:rPr>
          <w:rFonts w:eastAsia="Times New Roman" w:cs="Times New Roman"/>
          <w:szCs w:val="20"/>
        </w:rPr>
        <w:t xml:space="preserve"> be reappointed by the appointing body or officer until the term for which the interim appointee would have served expires.  </w:t>
      </w:r>
      <w:r>
        <w:rPr>
          <w:rFonts w:eastAsia="Times New Roman" w:cs="Times New Roman"/>
          <w:szCs w:val="20"/>
          <w:u w:val="single"/>
        </w:rPr>
        <w:t>This subsection does not apply to vacancies occurring in a redevelopment authority provided for in subsection (D)(1), which vacancies must be filled by the municipal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(K)</w:t>
      </w:r>
      <w:r>
        <w:rPr>
          <w:rFonts w:eastAsia="Times New Roman" w:cs="Times New Roman"/>
          <w:szCs w:val="20"/>
        </w:rPr>
        <w:tab/>
        <w:t xml:space="preserve">A vacancy occurring while the Senate is in session, including a vacancy occurring due to the failure of the Senate to give advice and consent to an appointment, may be filled while the Senate is in session by an appointment of an individual other than the one that failed to receive advice and consent.  The appointment must be transmitted to the Senate for its consideration within one week after the appointment is made.  If the vacancy occurs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May </w:t>
      </w:r>
      <w:r>
        <w:rPr>
          <w:rFonts w:eastAsia="Times New Roman" w:cs="Times New Roman"/>
          <w:strike/>
          <w:szCs w:val="20"/>
        </w:rPr>
        <w:t>1</w:t>
      </w:r>
      <w:r>
        <w:rPr>
          <w:rFonts w:eastAsia="Times New Roman" w:cs="Times New Roman"/>
          <w:szCs w:val="20"/>
        </w:rPr>
        <w:t xml:space="preserve"> </w:t>
      </w:r>
      <w:r>
        <w:rPr>
          <w:rFonts w:eastAsia="Times New Roman" w:cs="Times New Roman"/>
          <w:szCs w:val="20"/>
          <w:u w:val="single"/>
        </w:rPr>
        <w:t>first</w:t>
      </w:r>
      <w:r>
        <w:rPr>
          <w:rFonts w:eastAsia="Times New Roman" w:cs="Times New Roman"/>
          <w:szCs w:val="20"/>
        </w:rPr>
        <w:t xml:space="preserve"> and the Senate does not advise and consent to the appointment before sine die adjournment of that session, the office remains vacant and the appointee does not serve in holdover status notwithstanding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provision of law to the contrary.  </w:t>
      </w:r>
      <w:r>
        <w:rPr>
          <w:rFonts w:eastAsia="Times New Roman" w:cs="Times New Roman"/>
          <w:strike/>
          <w:szCs w:val="20"/>
        </w:rPr>
        <w:t>In no event may 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same individual </w:t>
      </w:r>
      <w:r>
        <w:rPr>
          <w:rFonts w:eastAsia="Times New Roman" w:cs="Times New Roman"/>
          <w:szCs w:val="20"/>
          <w:u w:val="single"/>
        </w:rPr>
        <w:t>must not</w:t>
      </w:r>
      <w:r>
        <w:rPr>
          <w:rFonts w:eastAsia="Times New Roman" w:cs="Times New Roman"/>
          <w:szCs w:val="20"/>
        </w:rPr>
        <w:t xml:space="preserve"> be reappointed until the term for which the appointee would have served expires.  If the vacancy occurs on or after May </w:t>
      </w:r>
      <w:r>
        <w:rPr>
          <w:rFonts w:eastAsia="Times New Roman" w:cs="Times New Roman"/>
          <w:strike/>
          <w:szCs w:val="20"/>
        </w:rPr>
        <w:t>1</w:t>
      </w:r>
      <w:r>
        <w:rPr>
          <w:rFonts w:eastAsia="Times New Roman" w:cs="Times New Roman"/>
          <w:szCs w:val="20"/>
        </w:rPr>
        <w:t xml:space="preserve"> </w:t>
      </w:r>
      <w:r>
        <w:rPr>
          <w:rFonts w:eastAsia="Times New Roman" w:cs="Times New Roman"/>
          <w:szCs w:val="20"/>
          <w:u w:val="single"/>
        </w:rPr>
        <w:t>first</w:t>
      </w:r>
      <w:r>
        <w:rPr>
          <w:rFonts w:eastAsia="Times New Roman" w:cs="Times New Roman"/>
          <w:szCs w:val="20"/>
        </w:rPr>
        <w:t xml:space="preserve">, the appointee is an interim appointee and is subject to the provisions of subsection (J).  </w:t>
      </w:r>
      <w:r>
        <w:rPr>
          <w:rFonts w:eastAsia="Times New Roman" w:cs="Times New Roman"/>
          <w:szCs w:val="20"/>
          <w:u w:val="single"/>
        </w:rPr>
        <w:t>This subsection does not apply to vacancies occurring in a redevelopment authority provided for in subsection (D)(1), which vacancies must be filled by the municipal governing body.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(L)</w:t>
      </w:r>
      <w:r>
        <w:rPr>
          <w:rFonts w:eastAsia="Times New Roman" w:cs="Times New Roman"/>
          <w:szCs w:val="20"/>
        </w:rPr>
        <w:tab/>
        <w:t>[Reserved]”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50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t>The term of office for members appointed pursuant to Sections 31</w:t>
      </w:r>
      <w:r>
        <w:rPr>
          <w:rFonts w:eastAsia="Times New Roman" w:cs="Times New Roman"/>
          <w:szCs w:val="20"/>
        </w:rPr>
        <w:noBreakHyphen/>
        <w:t>12</w:t>
      </w:r>
      <w:r>
        <w:rPr>
          <w:rFonts w:eastAsia="Times New Roman" w:cs="Times New Roman"/>
          <w:szCs w:val="20"/>
        </w:rPr>
        <w:noBreakHyphen/>
        <w:t>40(B) and 31</w:t>
      </w:r>
      <w:r>
        <w:rPr>
          <w:rFonts w:eastAsia="Times New Roman" w:cs="Times New Roman"/>
          <w:szCs w:val="20"/>
        </w:rPr>
        <w:noBreakHyphen/>
        <w:t>12</w:t>
      </w:r>
      <w:r>
        <w:rPr>
          <w:rFonts w:eastAsia="Times New Roman" w:cs="Times New Roman"/>
          <w:szCs w:val="20"/>
        </w:rPr>
        <w:noBreakHyphen/>
        <w:t>40(C) is as follows:  one of the state representatives, one of the county representatives, and one of the municipality representatives shall serve a four</w:t>
      </w:r>
      <w:r>
        <w:rPr>
          <w:rFonts w:eastAsia="Times New Roman" w:cs="Times New Roman"/>
          <w:szCs w:val="20"/>
        </w:rPr>
        <w:noBreakHyphen/>
        <w:t>year term as designated by the respective delegation or governing body.  The other members shall serve an initial two</w:t>
      </w:r>
      <w:r>
        <w:rPr>
          <w:rFonts w:eastAsia="Times New Roman" w:cs="Times New Roman"/>
          <w:szCs w:val="20"/>
        </w:rPr>
        <w:noBreakHyphen/>
        <w:t>year term, including the at</w:t>
      </w:r>
      <w:r>
        <w:rPr>
          <w:rFonts w:eastAsia="Times New Roman" w:cs="Times New Roman"/>
          <w:szCs w:val="20"/>
        </w:rPr>
        <w:noBreakHyphen/>
        <w:t>large appointment by the Governor.  The term of office for members appointed pursuant to Section 31</w:t>
      </w:r>
      <w:r>
        <w:rPr>
          <w:rFonts w:eastAsia="Times New Roman" w:cs="Times New Roman"/>
          <w:szCs w:val="20"/>
        </w:rPr>
        <w:noBreakHyphen/>
        <w:t>12</w:t>
      </w:r>
      <w:r>
        <w:rPr>
          <w:rFonts w:eastAsia="Times New Roman" w:cs="Times New Roman"/>
          <w:szCs w:val="20"/>
        </w:rPr>
        <w:noBreakHyphen/>
        <w:t xml:space="preserve">40(D) </w:t>
      </w:r>
      <w:r>
        <w:rPr>
          <w:rFonts w:eastAsia="Times New Roman" w:cs="Times New Roman"/>
          <w:strike/>
          <w:szCs w:val="20"/>
        </w:rPr>
        <w:t>shall be split equally between two or</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four years</w:t>
      </w:r>
      <w:r>
        <w:rPr>
          <w:rFonts w:eastAsia="Times New Roman" w:cs="Times New Roman"/>
          <w:strike/>
          <w:szCs w:val="20"/>
        </w:rPr>
        <w:t>, as determined by lot at their first organizational meeting, other than the appointment by the Governor pursuant to Section 31</w:t>
      </w:r>
      <w:r>
        <w:rPr>
          <w:rFonts w:eastAsia="Times New Roman" w:cs="Times New Roman"/>
          <w:strike/>
          <w:szCs w:val="20"/>
        </w:rPr>
        <w:noBreakHyphen/>
        <w:t>12</w:t>
      </w:r>
      <w:r>
        <w:rPr>
          <w:rFonts w:eastAsia="Times New Roman" w:cs="Times New Roman"/>
          <w:strike/>
          <w:szCs w:val="20"/>
        </w:rPr>
        <w:noBreakHyphen/>
        <w:t>40(D)(1)(e), who shall serve an initial two</w:t>
      </w:r>
      <w:r>
        <w:rPr>
          <w:rFonts w:eastAsia="Times New Roman" w:cs="Times New Roman"/>
          <w:strike/>
          <w:szCs w:val="20"/>
        </w:rPr>
        <w:noBreakHyphen/>
        <w:t>year term</w:t>
      </w:r>
      <w:r>
        <w:rPr>
          <w:rFonts w:eastAsia="Times New Roman" w:cs="Times New Roman"/>
          <w:szCs w:val="20"/>
        </w:rPr>
        <w:t xml:space="preserve">.  </w:t>
      </w:r>
      <w:r>
        <w:rPr>
          <w:rFonts w:eastAsia="Times New Roman" w:cs="Times New Roman"/>
          <w:strike/>
          <w:szCs w:val="20"/>
        </w:rPr>
        <w:t>After the initial terms, all members shall serve four</w:t>
      </w:r>
      <w:r>
        <w:rPr>
          <w:rFonts w:eastAsia="Times New Roman" w:cs="Times New Roman"/>
          <w:strike/>
          <w:szCs w:val="20"/>
        </w:rPr>
        <w:noBreakHyphen/>
        <w:t>year terms</w:t>
      </w:r>
      <w:r>
        <w:rPr>
          <w:rFonts w:eastAsia="Times New Roman" w:cs="Times New Roman"/>
          <w:szCs w:val="20"/>
        </w:rPr>
        <w:t>.  Each member shall hold office until his successor is appointed and qualified.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Vacancies for the unexpired terms of a member who resigns, ceases to be qualified, or is removed must be </w:t>
      </w:r>
      <w:r>
        <w:rPr>
          <w:rFonts w:eastAsia="Times New Roman" w:cs="Times New Roman"/>
          <w:szCs w:val="20"/>
          <w:u w:val="single"/>
        </w:rPr>
        <w:t>filled</w:t>
      </w:r>
      <w:r>
        <w:rPr>
          <w:rFonts w:eastAsia="Times New Roman" w:cs="Times New Roman"/>
          <w:szCs w:val="20"/>
        </w:rPr>
        <w:t xml:space="preserve"> promptly </w:t>
      </w:r>
      <w:r>
        <w:rPr>
          <w:rFonts w:eastAsia="Times New Roman" w:cs="Times New Roman"/>
          <w:strike/>
          <w:szCs w:val="20"/>
        </w:rPr>
        <w:t>filled</w:t>
      </w:r>
      <w:r>
        <w:rPr>
          <w:rFonts w:eastAsia="Times New Roman" w:cs="Times New Roman"/>
          <w:szCs w:val="20"/>
        </w:rPr>
        <w:t xml:space="preserve"> in the manner of the original appointment.  A member who is guilty of malfeasance, misfeasance, incompetency, persistent absenteeism, </w:t>
      </w:r>
      <w:r>
        <w:rPr>
          <w:rFonts w:eastAsia="Times New Roman" w:cs="Times New Roman"/>
          <w:strike/>
          <w:szCs w:val="20"/>
        </w:rPr>
        <w:t>conflicts</w:t>
      </w:r>
      <w:r>
        <w:rPr>
          <w:rFonts w:eastAsia="Times New Roman" w:cs="Times New Roman"/>
          <w:szCs w:val="20"/>
        </w:rPr>
        <w:t xml:space="preserve"> </w:t>
      </w:r>
      <w:r>
        <w:rPr>
          <w:rFonts w:eastAsia="Times New Roman" w:cs="Times New Roman"/>
          <w:szCs w:val="20"/>
          <w:u w:val="single"/>
        </w:rPr>
        <w:t>conflict</w:t>
      </w:r>
      <w:r>
        <w:rPr>
          <w:rFonts w:eastAsia="Times New Roman" w:cs="Times New Roman"/>
          <w:szCs w:val="20"/>
        </w:rPr>
        <w:t xml:space="preserve"> of interest, misconduct, persistent neglect of duty in office, or incapacity is subject to removal by majority vote of the appointing body upon </w:t>
      </w:r>
      <w:r>
        <w:rPr>
          <w:rFonts w:eastAsia="Times New Roman" w:cs="Times New Roman"/>
          <w:strike/>
          <w:szCs w:val="20"/>
        </w:rPr>
        <w:t>any of the foregoing causes</w:t>
      </w:r>
      <w:r>
        <w:rPr>
          <w:rFonts w:eastAsia="Times New Roman" w:cs="Times New Roman"/>
          <w:szCs w:val="20"/>
        </w:rPr>
        <w:t xml:space="preserve"> </w:t>
      </w:r>
      <w:r>
        <w:rPr>
          <w:rFonts w:eastAsia="Times New Roman" w:cs="Times New Roman"/>
          <w:szCs w:val="20"/>
          <w:u w:val="single"/>
        </w:rPr>
        <w:t>the cause</w:t>
      </w:r>
      <w:r>
        <w:rPr>
          <w:rFonts w:eastAsia="Times New Roman" w:cs="Times New Roman"/>
          <w:szCs w:val="20"/>
        </w:rPr>
        <w:t xml:space="preserve"> being made to appear satisfactory to the appointing body.  A member is subject to removal by an appointing body, with or without cause, upon a two</w:t>
      </w:r>
      <w:r>
        <w:rPr>
          <w:rFonts w:eastAsia="Times New Roman" w:cs="Times New Roman"/>
          <w:szCs w:val="20"/>
        </w:rPr>
        <w:noBreakHyphen/>
        <w:t>thirds vote of an appointing body.  An appointing officer may remove a member of an authority with or without cause.  A member shall receive, as the authority determines, reimbursement for reasonable travel expenses and other out</w:t>
      </w:r>
      <w:r>
        <w:rPr>
          <w:rFonts w:eastAsia="Times New Roman" w:cs="Times New Roman"/>
          <w:szCs w:val="20"/>
        </w:rPr>
        <w:noBreakHyphen/>
        <w:t>of</w:t>
      </w:r>
      <w:r>
        <w:rPr>
          <w:rFonts w:eastAsia="Times New Roman" w:cs="Times New Roman"/>
          <w:szCs w:val="20"/>
        </w:rPr>
        <w:noBreakHyphen/>
        <w:t>pocket expenses incurred in the discharge of the member’s duties.”</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100(C)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Upon a determination to dissolve, the authority may dispose of any tangible or intangible property remaining after transfer of any remaining redevelopment properties as provided by law or in the following manner: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tangible personal property and cash or similar instruments held by the authority must be distributed to the local governmental entities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w:t>
      </w:r>
      <w:r>
        <w:rPr>
          <w:rFonts w:eastAsia="Times New Roman" w:cs="Times New Roman"/>
          <w:strike/>
          <w:szCs w:val="20"/>
        </w:rPr>
        <w:t>nominated</w:t>
      </w:r>
      <w:r>
        <w:rPr>
          <w:rFonts w:eastAsia="Times New Roman" w:cs="Times New Roman"/>
          <w:szCs w:val="20"/>
        </w:rPr>
        <w:t xml:space="preserve"> </w:t>
      </w:r>
      <w:r>
        <w:rPr>
          <w:rFonts w:eastAsia="Times New Roman" w:cs="Times New Roman"/>
          <w:szCs w:val="20"/>
          <w:u w:val="single"/>
        </w:rPr>
        <w:t>nominate or appoint</w:t>
      </w:r>
      <w:r>
        <w:rPr>
          <w:rFonts w:eastAsia="Times New Roman" w:cs="Times New Roman"/>
          <w:szCs w:val="20"/>
        </w:rPr>
        <w:t xml:space="preserve"> members to the authority; and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disbursement of assets must be based on the cash value of all assets and must be distributed in reimbursement to local government entities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have contributed cash funds or capital assets in proportion to the dollar value of contributions made by the government entities that have not been otherwise recovered by the contributing governmental entity through direct revenues.”</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210(F)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obligations must be issued not later than fifteen years after the adoption of an ordinance by the municipality pursuant to Section 31</w:t>
      </w:r>
      <w:r>
        <w:rPr>
          <w:rFonts w:eastAsia="Times New Roman" w:cs="Times New Roman"/>
          <w:szCs w:val="20"/>
        </w:rPr>
        <w:noBreakHyphen/>
        <w:t>12</w:t>
      </w:r>
      <w:r>
        <w:rPr>
          <w:rFonts w:eastAsia="Times New Roman" w:cs="Times New Roman"/>
          <w:szCs w:val="20"/>
        </w:rPr>
        <w:noBreakHyphen/>
        <w:t xml:space="preserve">280 concurring in an authority’s redevelopment plan </w:t>
      </w:r>
      <w:r>
        <w:rPr>
          <w:rFonts w:eastAsia="Times New Roman" w:cs="Times New Roman"/>
          <w:szCs w:val="20"/>
          <w:u w:val="single"/>
        </w:rPr>
        <w:t>or, in the case of a redevelopment authority restructured so as to be brought into compliance with the current provisions of Section 31</w:t>
      </w:r>
      <w:r>
        <w:rPr>
          <w:rFonts w:eastAsia="Times New Roman" w:cs="Times New Roman"/>
          <w:szCs w:val="20"/>
          <w:u w:val="single"/>
        </w:rPr>
        <w:noBreakHyphen/>
        <w:t>12</w:t>
      </w:r>
      <w:r>
        <w:rPr>
          <w:rFonts w:eastAsia="Times New Roman" w:cs="Times New Roman"/>
          <w:szCs w:val="20"/>
          <w:u w:val="single"/>
        </w:rPr>
        <w:noBreakHyphen/>
        <w:t>40(D), within fifteen years of the date it ceases to be a creation of the State pursuant to Section 31</w:t>
      </w:r>
      <w:r>
        <w:rPr>
          <w:rFonts w:eastAsia="Times New Roman" w:cs="Times New Roman"/>
          <w:szCs w:val="20"/>
          <w:u w:val="single"/>
        </w:rPr>
        <w:noBreakHyphen/>
        <w:t>12</w:t>
      </w:r>
      <w:r>
        <w:rPr>
          <w:rFonts w:eastAsia="Times New Roman" w:cs="Times New Roman"/>
          <w:szCs w:val="20"/>
          <w:u w:val="single"/>
        </w:rPr>
        <w:noBreakHyphen/>
        <w:t>40(D)(2)</w:t>
      </w:r>
      <w:r>
        <w:rPr>
          <w:rFonts w:eastAsia="Times New Roman" w:cs="Times New Roman"/>
          <w:szCs w:val="20"/>
        </w:rPr>
        <w:t>.”</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31</w:t>
      </w:r>
      <w:r>
        <w:rPr>
          <w:rFonts w:eastAsia="Times New Roman" w:cs="Times New Roman"/>
          <w:szCs w:val="20"/>
        </w:rPr>
        <w:noBreakHyphen/>
        <w:t>12</w:t>
      </w:r>
      <w:r>
        <w:rPr>
          <w:rFonts w:eastAsia="Times New Roman" w:cs="Times New Roman"/>
          <w:szCs w:val="20"/>
        </w:rPr>
        <w:noBreakHyphen/>
        <w:t>300(A) of the 1976 Code is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If a municipality authorizes by ordinance the issuance of obligations pursuant to Section 31</w:t>
      </w:r>
      <w:r>
        <w:rPr>
          <w:rFonts w:eastAsia="Times New Roman" w:cs="Times New Roman"/>
          <w:szCs w:val="20"/>
        </w:rPr>
        <w:noBreakHyphen/>
        <w:t>12</w:t>
      </w:r>
      <w:r>
        <w:rPr>
          <w:rFonts w:eastAsia="Times New Roman" w:cs="Times New Roman"/>
          <w:szCs w:val="20"/>
        </w:rPr>
        <w:noBreakHyphen/>
        <w:t>210, the auditor of the county in which the municipality is situated, immediately after adoption of the ordinance pursuant to Section 31</w:t>
      </w:r>
      <w:r>
        <w:rPr>
          <w:rFonts w:eastAsia="Times New Roman" w:cs="Times New Roman"/>
          <w:szCs w:val="20"/>
        </w:rPr>
        <w:noBreakHyphen/>
        <w:t>12</w:t>
      </w:r>
      <w:r>
        <w:rPr>
          <w:rFonts w:eastAsia="Times New Roman" w:cs="Times New Roman"/>
          <w:szCs w:val="20"/>
        </w:rPr>
        <w:noBreakHyphen/>
        <w:t>210 and upon request of the municipality, shall determine and certify:</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most recently ascertained equalized assessed value of all taxable real property within the redevelopment project area, as of the date of creation of the authority pursuant to Section 31</w:t>
      </w:r>
      <w:r>
        <w:rPr>
          <w:rFonts w:eastAsia="Times New Roman" w:cs="Times New Roman"/>
          <w:szCs w:val="20"/>
        </w:rPr>
        <w:noBreakHyphen/>
        <w:t>12</w:t>
      </w:r>
      <w:r>
        <w:rPr>
          <w:rFonts w:eastAsia="Times New Roman" w:cs="Times New Roman"/>
          <w:szCs w:val="20"/>
        </w:rPr>
        <w:noBreakHyphen/>
        <w:t xml:space="preserve">200 or the date the properties were scheduled for disposal by final action of the federal government in the case of properties added after the date of creation of the authority, which value is the ‘initial equalized assessed value’ of the property; and </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total equalized assessed value of all taxable real property within the redevelopment project area, as of the date of creation of the authority pursuant to Section 31</w:t>
      </w:r>
      <w:r>
        <w:rPr>
          <w:rFonts w:eastAsia="Times New Roman" w:cs="Times New Roman"/>
          <w:szCs w:val="20"/>
        </w:rPr>
        <w:noBreakHyphen/>
        <w:t>12</w:t>
      </w:r>
      <w:r>
        <w:rPr>
          <w:rFonts w:eastAsia="Times New Roman" w:cs="Times New Roman"/>
          <w:szCs w:val="20"/>
        </w:rPr>
        <w:noBreakHyphen/>
        <w:t xml:space="preserve">200 or the date the properties were scheduled for disposal by final action of the federal government in the case of properties added after the date of creation of the authority, </w:t>
      </w:r>
      <w:r>
        <w:rPr>
          <w:rFonts w:eastAsia="Times New Roman" w:cs="Times New Roman"/>
          <w:szCs w:val="20"/>
          <w:u w:val="single"/>
        </w:rPr>
        <w:t>determined without regard to restructuring of the authority pursuant to Section 31</w:t>
      </w:r>
      <w:r>
        <w:rPr>
          <w:rFonts w:eastAsia="Times New Roman" w:cs="Times New Roman"/>
          <w:szCs w:val="20"/>
          <w:u w:val="single"/>
        </w:rPr>
        <w:noBreakHyphen/>
        <w:t>12</w:t>
      </w:r>
      <w:r>
        <w:rPr>
          <w:rFonts w:eastAsia="Times New Roman" w:cs="Times New Roman"/>
          <w:szCs w:val="20"/>
          <w:u w:val="single"/>
        </w:rPr>
        <w:noBreakHyphen/>
        <w:t>40(D)(1) and (2),</w:t>
      </w:r>
      <w:r>
        <w:rPr>
          <w:rFonts w:eastAsia="Times New Roman" w:cs="Times New Roman"/>
          <w:szCs w:val="20"/>
        </w:rPr>
        <w:t xml:space="preserve"> and certifying the amount as the ‘total initial equalized assessed value’ of the taxable real property within the redevelopment project area.  Another official required by law to ascertain the amount of the equalized assessed value of all taxable property within the district shall cooperate and assist the county auditor in making the determination.”</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510(B) and (C) of the 1976 Code, as amended by Act 462 of 1996, is further amended to read:</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Revenue generated by the fees must be credited to the general fund of the State</w:t>
      </w:r>
      <w:r>
        <w:rPr>
          <w:rFonts w:eastAsia="Times New Roman" w:cs="Times New Roman"/>
          <w:szCs w:val="20"/>
          <w:u w:val="single"/>
        </w:rPr>
        <w:t>,</w:t>
      </w:r>
      <w:r>
        <w:rPr>
          <w:rFonts w:eastAsia="Times New Roman" w:cs="Times New Roman"/>
          <w:szCs w:val="20"/>
        </w:rPr>
        <w:t xml:space="preserve"> except that revenue generated by the fees within a county where a federal military base or installation has been closed, or is designated to be closed and where the federal facility has reduced its permanent civilian employment by seven hundred fifty or more jobs after December 31, 1990,</w:t>
      </w:r>
      <w:r>
        <w:rPr>
          <w:rFonts w:eastAsia="Times New Roman" w:cs="Times New Roman"/>
          <w:strike/>
          <w:szCs w:val="20"/>
        </w:rPr>
        <w:t xml:space="preserve"> for a period of ten years after the effective date of Chapter 12 of Title 31,</w:t>
      </w:r>
      <w:r>
        <w:rPr>
          <w:rFonts w:eastAsia="Times New Roman" w:cs="Times New Roman"/>
          <w:szCs w:val="20"/>
        </w:rPr>
        <w:t xml:space="preserve"> must be credited to a special separate and distinct account with the Budget and Control Board for support of a redevelopment authority </w:t>
      </w:r>
      <w:r>
        <w:rPr>
          <w:rFonts w:eastAsia="Times New Roman" w:cs="Times New Roman"/>
          <w:strike/>
          <w:szCs w:val="20"/>
        </w:rPr>
        <w:t>created therein pursuant to Chapter 12 of Title 31</w:t>
      </w:r>
      <w:r>
        <w:rPr>
          <w:rFonts w:eastAsia="Times New Roman" w:cs="Times New Roman"/>
          <w:szCs w:val="20"/>
        </w:rPr>
        <w:t xml:space="preserve"> </w:t>
      </w:r>
      <w:r>
        <w:rPr>
          <w:rFonts w:eastAsia="Times New Roman" w:cs="Times New Roman"/>
          <w:szCs w:val="20"/>
          <w:u w:val="single"/>
        </w:rPr>
        <w:t>created or restructured as provided in Section 31</w:t>
      </w:r>
      <w:r>
        <w:rPr>
          <w:rFonts w:eastAsia="Times New Roman" w:cs="Times New Roman"/>
          <w:szCs w:val="20"/>
          <w:u w:val="single"/>
        </w:rPr>
        <w:noBreakHyphen/>
        <w:t>12</w:t>
      </w:r>
      <w:r>
        <w:rPr>
          <w:rFonts w:eastAsia="Times New Roman" w:cs="Times New Roman"/>
          <w:szCs w:val="20"/>
          <w:u w:val="single"/>
        </w:rPr>
        <w:noBreakHyphen/>
        <w:t>40(D)(1) and (D)(2)</w:t>
      </w:r>
      <w:r>
        <w:rPr>
          <w:rFonts w:eastAsia="Times New Roman" w:cs="Times New Roman"/>
          <w:szCs w:val="20"/>
        </w:rPr>
        <w:t>.  All other requirements for retail permits provided in Sections 61</w:t>
      </w:r>
      <w:r>
        <w:rPr>
          <w:rFonts w:eastAsia="Times New Roman" w:cs="Times New Roman"/>
          <w:szCs w:val="20"/>
        </w:rPr>
        <w:noBreakHyphen/>
        <w:t>2</w:t>
      </w:r>
      <w:r>
        <w:rPr>
          <w:rFonts w:eastAsia="Times New Roman" w:cs="Times New Roman"/>
          <w:szCs w:val="20"/>
        </w:rPr>
        <w:noBreakHyphen/>
        <w:t>120 and 61</w:t>
      </w:r>
      <w:r>
        <w:rPr>
          <w:rFonts w:eastAsia="Times New Roman" w:cs="Times New Roman"/>
          <w:szCs w:val="20"/>
        </w:rPr>
        <w:noBreakHyphen/>
        <w:t>4</w:t>
      </w:r>
      <w:r>
        <w:rPr>
          <w:rFonts w:eastAsia="Times New Roman" w:cs="Times New Roman"/>
          <w:szCs w:val="20"/>
        </w:rPr>
        <w:noBreakHyphen/>
        <w:t>500 apply to the special permits authorized by this section.</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r>
      <w:r>
        <w:rPr>
          <w:rFonts w:eastAsia="Times New Roman" w:cs="Times New Roman"/>
          <w:szCs w:val="20"/>
          <w:u w:val="single"/>
        </w:rPr>
        <w:t>Upon the creation or restructuring of an authority pursuant to Section 31</w:t>
      </w:r>
      <w:r>
        <w:rPr>
          <w:rFonts w:eastAsia="Times New Roman" w:cs="Times New Roman"/>
          <w:szCs w:val="20"/>
          <w:u w:val="single"/>
        </w:rPr>
        <w:noBreakHyphen/>
        <w:t>12</w:t>
      </w:r>
      <w:r>
        <w:rPr>
          <w:rFonts w:eastAsia="Times New Roman" w:cs="Times New Roman"/>
          <w:szCs w:val="20"/>
          <w:u w:val="single"/>
        </w:rPr>
        <w:noBreakHyphen/>
        <w:t>40(D)(1) and (D)(2) composed of municipal appointees, the fee credited to the special account pursuant to subsection (B) must be distributed to the redevelopment authority.</w:t>
      </w:r>
      <w:r>
        <w:rPr>
          <w:rFonts w:eastAsia="Times New Roman" w:cs="Times New Roman"/>
          <w:szCs w:val="20"/>
        </w:rPr>
        <w:t xml:space="preserve">  Immediately following the dissolution of a redevelopment authority pursuant to Section 31</w:t>
      </w:r>
      <w:r>
        <w:rPr>
          <w:rFonts w:eastAsia="Times New Roman" w:cs="Times New Roman"/>
          <w:szCs w:val="20"/>
        </w:rPr>
        <w:noBreakHyphen/>
        <w:t>12</w:t>
      </w:r>
      <w:r>
        <w:rPr>
          <w:rFonts w:eastAsia="Times New Roman" w:cs="Times New Roman"/>
          <w:szCs w:val="20"/>
        </w:rPr>
        <w:noBreakHyphen/>
        <w:t xml:space="preserve">100(A), the fees distributed to the dissolved redevelopment authority pursuant to subsection (B) must be distributed to the municipality </w:t>
      </w:r>
      <w:r>
        <w:rPr>
          <w:rFonts w:eastAsia="Times New Roman" w:cs="Times New Roman"/>
          <w:strike/>
          <w:szCs w:val="20"/>
        </w:rPr>
        <w:t>or county in which the retailer who paid the fee is located</w:t>
      </w:r>
      <w:r>
        <w:rPr>
          <w:rFonts w:eastAsia="Times New Roman" w:cs="Times New Roman"/>
          <w:szCs w:val="20"/>
        </w:rPr>
        <w:t xml:space="preserve"> </w:t>
      </w:r>
      <w:r>
        <w:rPr>
          <w:rFonts w:eastAsia="Times New Roman" w:cs="Times New Roman"/>
          <w:szCs w:val="20"/>
          <w:u w:val="single"/>
        </w:rPr>
        <w:t>within whose borders the major portion of the federal defense property that was subject to disposal is located</w:t>
      </w:r>
      <w:r>
        <w:rPr>
          <w:rFonts w:eastAsia="Times New Roman" w:cs="Times New Roman"/>
          <w:szCs w:val="20"/>
        </w:rPr>
        <w:t xml:space="preserve">.  The revenue may </w:t>
      </w:r>
      <w:r>
        <w:rPr>
          <w:rFonts w:eastAsia="Times New Roman" w:cs="Times New Roman"/>
          <w:strike/>
          <w:szCs w:val="20"/>
        </w:rPr>
        <w:t>only</w:t>
      </w:r>
      <w:r>
        <w:rPr>
          <w:rFonts w:eastAsia="Times New Roman" w:cs="Times New Roman"/>
          <w:szCs w:val="20"/>
        </w:rPr>
        <w:t xml:space="preserve"> be used by the municipality </w:t>
      </w:r>
      <w:r>
        <w:rPr>
          <w:rFonts w:eastAsia="Times New Roman" w:cs="Times New Roman"/>
          <w:strike/>
          <w:szCs w:val="20"/>
        </w:rPr>
        <w:t>or county</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for the following purposes: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capital improvements to tourism</w:t>
      </w:r>
      <w:r>
        <w:rPr>
          <w:rFonts w:eastAsia="Times New Roman" w:cs="Times New Roman"/>
          <w:szCs w:val="20"/>
        </w:rPr>
        <w:noBreakHyphen/>
        <w:t>related buildings including, but not limited to, civic centers, convention centers, coliseums, aquariums, stadiums, marinas, parks, and recreational facilities;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purchase or renovation of buildings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historic properties as defined in Section 60</w:t>
      </w:r>
      <w:r>
        <w:rPr>
          <w:rFonts w:eastAsia="Times New Roman" w:cs="Times New Roman"/>
          <w:szCs w:val="20"/>
        </w:rPr>
        <w:noBreakHyphen/>
        <w:t>12</w:t>
      </w:r>
      <w:r>
        <w:rPr>
          <w:rFonts w:eastAsia="Times New Roman" w:cs="Times New Roman"/>
          <w:szCs w:val="20"/>
        </w:rPr>
        <w:noBreakHyphen/>
        <w:t>10(4) and (5);</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festivals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have a demonstrable and significant impact on tourism;</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acquiring fee and less than fee interest in land while it is still available to be held in perpetuity as wildlife preserves or believed to be needed by the public in the future for active and passive recreation uses and scenic easements</w:t>
      </w:r>
      <w:r>
        <w:rPr>
          <w:rFonts w:eastAsia="Times New Roman" w:cs="Times New Roman"/>
          <w:strike/>
          <w:szCs w:val="20"/>
        </w:rPr>
        <w:t>, to include the following types of land</w:t>
      </w:r>
      <w:r>
        <w:rPr>
          <w:rFonts w:eastAsia="Times New Roman" w:cs="Times New Roman"/>
          <w:szCs w:val="20"/>
        </w:rPr>
        <w:t xml:space="preserve"> </w:t>
      </w:r>
      <w:r>
        <w:rPr>
          <w:rFonts w:eastAsia="Times New Roman" w:cs="Times New Roman"/>
          <w:szCs w:val="20"/>
          <w:u w:val="single"/>
        </w:rPr>
        <w:t>including</w:t>
      </w:r>
      <w:r>
        <w:rPr>
          <w:rFonts w:eastAsia="Times New Roman" w:cs="Times New Roman"/>
          <w:szCs w:val="20"/>
        </w:rPr>
        <w:t>:  ocean, harbor, and pond frontage in the form of beaches, dunes, and adjoining backlands; barrier beaches; fresh and saltwater marshes and adjoining uplands; land for bicycle paths; land protecting existing and future</w:t>
      </w:r>
      <w:r>
        <w:rPr>
          <w:rFonts w:eastAsia="Times New Roman" w:cs="Times New Roman"/>
          <w:strike/>
          <w:szCs w:val="20"/>
        </w:rPr>
        <w:t>;</w:t>
      </w:r>
      <w:r>
        <w:rPr>
          <w:rFonts w:eastAsia="Times New Roman" w:cs="Times New Roman"/>
          <w:szCs w:val="20"/>
        </w:rPr>
        <w:t xml:space="preserve"> public water supply, well fields, highway buffering</w:t>
      </w:r>
      <w:r>
        <w:rPr>
          <w:rFonts w:eastAsia="Times New Roman" w:cs="Times New Roman"/>
          <w:szCs w:val="20"/>
          <w:u w:val="single"/>
        </w:rPr>
        <w:t>,</w:t>
      </w:r>
      <w:r>
        <w:rPr>
          <w:rFonts w:eastAsia="Times New Roman" w:cs="Times New Roman"/>
          <w:szCs w:val="20"/>
        </w:rPr>
        <w:t xml:space="preserve"> and aquifer recharge areas; </w:t>
      </w:r>
      <w:r>
        <w:rPr>
          <w:rFonts w:eastAsia="Times New Roman" w:cs="Times New Roman"/>
          <w:strike/>
          <w:szCs w:val="20"/>
        </w:rPr>
        <w:t>and</w:t>
      </w:r>
      <w:r>
        <w:rPr>
          <w:rFonts w:eastAsia="Times New Roman" w:cs="Times New Roman"/>
          <w:szCs w:val="20"/>
        </w:rPr>
        <w:t xml:space="preserve"> land for wildlife preserves; and land for future public recreational facilities;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nourishment, renourishment (resanding)</w:t>
      </w:r>
      <w:r>
        <w:rPr>
          <w:rFonts w:eastAsia="Times New Roman" w:cs="Times New Roman"/>
          <w:szCs w:val="20"/>
          <w:u w:val="single"/>
        </w:rPr>
        <w:t>,</w:t>
      </w:r>
      <w:r>
        <w:rPr>
          <w:rFonts w:eastAsia="Times New Roman" w:cs="Times New Roman"/>
          <w:szCs w:val="20"/>
        </w:rPr>
        <w:t xml:space="preserve"> and maintenance of beaches;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t>dune restoration, including the planting of grass, sea oats, or other vegetation useful in preserving the dune system;</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t>maintenance of public beach access;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t>capital improvements to the beaches and beach related facilities, such as public parking areas for beach access; dune walkovers and rest room facilities, with or without changing rooms, at public beach parks; and</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(i) </w:t>
      </w:r>
      <w:r>
        <w:rPr>
          <w:rFonts w:eastAsia="Times New Roman" w:cs="Times New Roman"/>
          <w:szCs w:val="20"/>
        </w:rPr>
        <w:tab/>
        <w:t>construction and maintenance of drainage systems.</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revenue may not be used for operating expenses of tourism</w:t>
      </w:r>
      <w:r>
        <w:rPr>
          <w:rFonts w:eastAsia="Times New Roman" w:cs="Times New Roman"/>
          <w:szCs w:val="20"/>
        </w:rPr>
        <w:noBreakHyphen/>
        <w:t>related buildings.”</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Notwithstanding another provision of this act, a redevelopment authority previously established pursuant to Section 31</w:t>
      </w:r>
      <w:r>
        <w:rPr>
          <w:rFonts w:eastAsia="Times New Roman" w:cs="Times New Roman"/>
          <w:szCs w:val="20"/>
        </w:rPr>
        <w:noBreakHyphen/>
        <w:t>12</w:t>
      </w:r>
      <w:r>
        <w:rPr>
          <w:rFonts w:eastAsia="Times New Roman" w:cs="Times New Roman"/>
          <w:szCs w:val="20"/>
        </w:rPr>
        <w:noBreakHyphen/>
        <w:t>40(D) may continue to operate until a new redevelopment authority is established pursuant to Section 31</w:t>
      </w:r>
      <w:r>
        <w:rPr>
          <w:rFonts w:eastAsia="Times New Roman" w:cs="Times New Roman"/>
          <w:szCs w:val="20"/>
        </w:rPr>
        <w:noBreakHyphen/>
        <w:t>12</w:t>
      </w:r>
      <w:r>
        <w:rPr>
          <w:rFonts w:eastAsia="Times New Roman" w:cs="Times New Roman"/>
          <w:szCs w:val="20"/>
        </w:rPr>
        <w:noBreakHyphen/>
        <w:t>40(D)(2) and appointed as provided in Section 31</w:t>
      </w:r>
      <w:r>
        <w:rPr>
          <w:rFonts w:eastAsia="Times New Roman" w:cs="Times New Roman"/>
          <w:szCs w:val="20"/>
        </w:rPr>
        <w:noBreakHyphen/>
        <w:t>12</w:t>
      </w:r>
      <w:r>
        <w:rPr>
          <w:rFonts w:eastAsia="Times New Roman" w:cs="Times New Roman"/>
          <w:szCs w:val="20"/>
        </w:rPr>
        <w:noBreakHyphen/>
        <w:t>40(D)(1).</w:t>
      </w:r>
    </w:p>
    <w:p w:rsidR="00A154FB" w:rsidRDefault="00A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rsidR="00A154FB" w:rsidRDefault="00D63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154FB" w:rsidSect="00A154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4FB" w:rsidRDefault="00D63EFD">
      <w:r>
        <w:separator/>
      </w:r>
    </w:p>
  </w:endnote>
  <w:endnote w:type="continuationSeparator" w:id="0">
    <w:p w:rsidR="00A154FB" w:rsidRDefault="00D63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252B9-3BD3-4180-8CCE-86CFF01677F0}"/>
    <w:embedBold r:id="rId2" w:fontKey="{4558F4FC-FFB8-49DE-B236-A5B67374D841}"/>
  </w:font>
  <w:font w:name="Calibri">
    <w:panose1 w:val="020F0502020204030204"/>
    <w:charset w:val="00"/>
    <w:family w:val="swiss"/>
    <w:pitch w:val="variable"/>
    <w:sig w:usb0="E10002FF" w:usb1="4000ACFF" w:usb2="00000009" w:usb3="00000000" w:csb0="0000019F" w:csb1="00000000"/>
    <w:embedRegular r:id="rId3" w:fontKey="{8EEAAA63-323D-44C8-8B77-EABCFB204CF7}"/>
    <w:embedBold r:id="rId4" w:fontKey="{7CC198D1-B6D8-4FEB-89A6-E0F26468FC95}"/>
  </w:font>
  <w:font w:name="Tahoma">
    <w:panose1 w:val="020B0604030504040204"/>
    <w:charset w:val="00"/>
    <w:family w:val="swiss"/>
    <w:pitch w:val="variable"/>
    <w:sig w:usb0="21002A87" w:usb1="80000000" w:usb2="00000008" w:usb3="00000000" w:csb0="000101FF" w:csb1="00000000"/>
    <w:embedRegular r:id="rId5" w:fontKey="{32807ABA-2B70-461B-8E26-E23E3CBDE0D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DA0EE2E-A169-456B-A571-C1CD16B1D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4FB" w:rsidRDefault="00D63EFD">
    <w:pPr>
      <w:pStyle w:val="Footer"/>
      <w:tabs>
        <w:tab w:val="clear" w:pos="4680"/>
        <w:tab w:val="clear" w:pos="9360"/>
        <w:tab w:val="center" w:pos="2995"/>
      </w:tabs>
      <w:spacing w:before="120"/>
    </w:pPr>
    <w:r>
      <w:t>[92]</w:t>
    </w:r>
    <w:r>
      <w:tab/>
    </w:r>
    <w:r w:rsidR="009D2AAA">
      <w:fldChar w:fldCharType="begin"/>
    </w:r>
    <w:r w:rsidR="009D2AAA">
      <w:instrText xml:space="preserve"> PAGE  \* MERGEFORMAT </w:instrText>
    </w:r>
    <w:r w:rsidR="009D2AAA">
      <w:fldChar w:fldCharType="separate"/>
    </w:r>
    <w:r w:rsidR="009D2AAA">
      <w:rPr>
        <w:noProof/>
      </w:rPr>
      <w:t>1</w:t>
    </w:r>
    <w:r w:rsidR="009D2A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4FB" w:rsidRDefault="00D63EFD">
      <w:r>
        <w:separator/>
      </w:r>
    </w:p>
  </w:footnote>
  <w:footnote w:type="continuationSeparator" w:id="0">
    <w:p w:rsidR="00A154FB" w:rsidRDefault="00D63E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154FB"/>
    <w:rsid w:val="004F7E5E"/>
    <w:rsid w:val="00987DA5"/>
    <w:rsid w:val="009D2AAA"/>
    <w:rsid w:val="00A154FB"/>
    <w:rsid w:val="00D63EFD"/>
    <w:rsid w:val="00E73E44"/>
    <w:rsid w:val="00EE6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A19D83-5F51-49EF-B841-FB81CCD4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154FB"/>
    <w:rPr>
      <w:szCs w:val="21"/>
    </w:rPr>
  </w:style>
  <w:style w:type="character" w:customStyle="1" w:styleId="PlainTextChar">
    <w:name w:val="Plain Text Char"/>
    <w:basedOn w:val="DefaultParagraphFont"/>
    <w:link w:val="PlainText"/>
    <w:uiPriority w:val="99"/>
    <w:rsid w:val="00A154FB"/>
    <w:rPr>
      <w:szCs w:val="21"/>
    </w:rPr>
  </w:style>
  <w:style w:type="paragraph" w:styleId="BodyText">
    <w:name w:val="Body Text"/>
    <w:basedOn w:val="Normal"/>
    <w:link w:val="BodyTextChar"/>
    <w:uiPriority w:val="99"/>
    <w:locked/>
    <w:rsid w:val="00A154FB"/>
  </w:style>
  <w:style w:type="character" w:customStyle="1" w:styleId="BodyTextChar">
    <w:name w:val="Body Text Char"/>
    <w:basedOn w:val="DefaultParagraphFont"/>
    <w:link w:val="BodyText"/>
    <w:uiPriority w:val="99"/>
    <w:rsid w:val="00A154FB"/>
  </w:style>
  <w:style w:type="paragraph" w:styleId="BalloonText">
    <w:name w:val="Balloon Text"/>
    <w:next w:val="Normal"/>
    <w:link w:val="BalloonTextChar"/>
    <w:uiPriority w:val="99"/>
    <w:unhideWhenUsed/>
    <w:rsid w:val="00A154FB"/>
    <w:rPr>
      <w:rFonts w:cs="Tahoma"/>
      <w:szCs w:val="16"/>
    </w:rPr>
  </w:style>
  <w:style w:type="character" w:customStyle="1" w:styleId="BalloonTextChar">
    <w:name w:val="Balloon Text Char"/>
    <w:basedOn w:val="DefaultParagraphFont"/>
    <w:link w:val="BalloonText"/>
    <w:uiPriority w:val="99"/>
    <w:rsid w:val="00A154FB"/>
    <w:rPr>
      <w:rFonts w:cs="Tahoma"/>
      <w:szCs w:val="16"/>
    </w:rPr>
  </w:style>
  <w:style w:type="paragraph" w:styleId="NormalWeb">
    <w:name w:val="Normal (Web)"/>
    <w:basedOn w:val="Normal"/>
    <w:next w:val="Normal"/>
    <w:semiHidden/>
    <w:locked/>
    <w:rsid w:val="00A154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154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154FB"/>
    <w:rPr>
      <w:rFonts w:eastAsia="Times New Roman" w:cs="Times New Roman"/>
      <w:szCs w:val="20"/>
    </w:rPr>
  </w:style>
  <w:style w:type="paragraph" w:styleId="Header">
    <w:name w:val="header"/>
    <w:basedOn w:val="Normal"/>
    <w:link w:val="HeaderChar"/>
    <w:uiPriority w:val="99"/>
    <w:semiHidden/>
    <w:unhideWhenUsed/>
    <w:locked/>
    <w:rsid w:val="00A154FB"/>
    <w:pPr>
      <w:tabs>
        <w:tab w:val="center" w:pos="4680"/>
        <w:tab w:val="right" w:pos="9360"/>
      </w:tabs>
    </w:pPr>
  </w:style>
  <w:style w:type="character" w:customStyle="1" w:styleId="HeaderChar">
    <w:name w:val="Header Char"/>
    <w:basedOn w:val="DefaultParagraphFont"/>
    <w:link w:val="Header"/>
    <w:uiPriority w:val="99"/>
    <w:semiHidden/>
    <w:rsid w:val="00A154FB"/>
  </w:style>
  <w:style w:type="character" w:styleId="LineNumber">
    <w:name w:val="line number"/>
    <w:basedOn w:val="DefaultParagraphFont"/>
    <w:uiPriority w:val="99"/>
    <w:semiHidden/>
    <w:unhideWhenUsed/>
    <w:locked/>
    <w:rsid w:val="00A154FB"/>
  </w:style>
  <w:style w:type="character" w:styleId="Hyperlink">
    <w:name w:val="Hyperlink"/>
    <w:basedOn w:val="DefaultParagraphFont"/>
    <w:uiPriority w:val="99"/>
    <w:unhideWhenUsed/>
    <w:locked/>
    <w:rsid w:val="00A154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4040</Words>
  <Characters>21794</Characters>
  <Application>Microsoft Office Word</Application>
  <DocSecurity>0</DocSecurity>
  <Lines>503</Lines>
  <Paragraphs>84</Paragraphs>
  <ScaleCrop>false</ScaleCrop>
  <Company>Project Management</Company>
  <LinksUpToDate>false</LinksUpToDate>
  <CharactersWithSpaces>25892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 Federal Defense Facilities Development Law - South Carolina Legislature Online</dc:title>
  <dc:subject/>
  <dc:creator>NSC</dc:creator>
  <cp:keywords/>
  <dc:description/>
  <cp:lastModifiedBy>N Cumfer</cp:lastModifiedBy>
  <cp:revision>10</cp:revision>
  <dcterms:created xsi:type="dcterms:W3CDTF">2008-12-10T20:14:00Z</dcterms:created>
  <dcterms:modified xsi:type="dcterms:W3CDTF">2014-11-24T14:53:00Z</dcterms:modified>
</cp:coreProperties>
</file>