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67-0001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                  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67-0002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                   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766,118     716,118      78,735      28,735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SCOICC                         766,118     716,118     163,401     113,401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15,109,005              14,259,888      17,323  14,292,565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15,109,005              14,259,888      17,323  14,292,565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67-0003                                              SECTION  67 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15,109,005              14,259,888      17,323  14,292,565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UNEMPLOYMENT COMPENSATION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INSURANCE FUND RE                                                              148,991,517 148,991,517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                                              148,991,517 148,991,517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                                              148,991,517 148,991,517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 91,617,147     716,118 101,265,689     130,724 101,134,965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 91,617,147     716,118 101,265,689     130,724 250,126,482 148,991,517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(967.00)      (4.00)    (967.00)      (4.00)    (963.00)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FB4C44-9B3A-4C31-AE3A-724D23B0DB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A22F3A-97BF-426D-8639-2F74269A83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5F635F-F2F8-4B6C-8464-B92DC9D6C0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92BC56-3B65-4CC4-9C54-0889011E4E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CF8018-47D9-4173-8526-95FF91CA94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1765</Words>
  <Characters>10067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