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rPr>
        <w:t>TO AMEND SECTION 1</w:t>
      </w:r>
      <w:r>
        <w:rPr>
          <w:rFonts w:cs="Times New Roman"/>
        </w:rPr>
        <w:noBreakHyphen/>
        <w:t>30</w:t>
      </w:r>
      <w:r>
        <w:rPr>
          <w:rFonts w:cs="Times New Roman"/>
        </w:rPr>
        <w:noBreakHyphen/>
        <w:t>10 OF THE 1976 CODE, RELATING TO THE AGENCIES OF THE EXECUTIVE BRANCH OF STATE GOVERNMENT, BY ADDING THE DEPARTMENT OF ADMINISTRATION; AND BY ADDING SECTION 1</w:t>
      </w:r>
      <w:r>
        <w:rPr>
          <w:rFonts w:cs="Times New Roman"/>
        </w:rPr>
        <w:noBreakHyphen/>
        <w:t>30</w:t>
      </w:r>
      <w:r>
        <w:rPr>
          <w:rFonts w:cs="Times New Roman"/>
        </w:rPr>
        <w:noBreakHyphen/>
        <w:t>125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THE OFFICE OF THE GOVERNOR, AND OTHER AGENCIES, AND TO PROVIDE FOR TRANSITIONAL AND OTHER PROVISIONS NECESSARY TO ACCOMPLISH THE ESTABLISHMENT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w:t>
      </w:r>
      <w:r>
        <w:rPr>
          <w:rFonts w:eastAsia="Times New Roman" w:cs="Times New Roman"/>
          <w:szCs w:val="20"/>
        </w:rPr>
        <w:noBreakHyphen/>
        <w:t>30</w:t>
      </w:r>
      <w:r>
        <w:rPr>
          <w:rFonts w:eastAsia="Times New Roman" w:cs="Times New Roman"/>
          <w:szCs w:val="20"/>
        </w:rPr>
        <w:noBreakHyphen/>
        <w:t>10(A)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“20.</w:t>
      </w:r>
      <w:r>
        <w:rPr>
          <w:rFonts w:eastAsia="Times New Roman" w:cs="Times New Roman"/>
          <w:szCs w:val="20"/>
        </w:rPr>
        <w:tab/>
        <w:t>Department of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r>
      <w:r>
        <w:rPr>
          <w:rFonts w:eastAsia="Times New Roman" w:cs="Times New Roman"/>
          <w:szCs w:val="20"/>
        </w:rPr>
        <w:tab/>
        <w:t>A.</w:t>
      </w:r>
      <w:r>
        <w:rPr>
          <w:rFonts w:eastAsia="Times New Roman" w:cs="Times New Roman"/>
          <w:szCs w:val="20"/>
        </w:rPr>
        <w:tab/>
      </w:r>
      <w:r>
        <w:rPr>
          <w:rFonts w:eastAsia="Times New Roman" w:cs="Times New Roman"/>
          <w:szCs w:val="20"/>
        </w:rPr>
        <w:tab/>
        <w:t>Chapter 30,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30</w:t>
      </w:r>
      <w:r>
        <w:rPr>
          <w:rFonts w:eastAsia="Times New Roman" w:cs="Times New Roman"/>
          <w:szCs w:val="20"/>
        </w:rPr>
        <w:noBreakHyphen/>
        <w:t>125.</w:t>
      </w:r>
      <w:r>
        <w:rPr>
          <w:rFonts w:eastAsia="Times New Roman" w:cs="Times New Roman"/>
          <w:szCs w:val="20"/>
        </w:rPr>
        <w:tab/>
        <w:t>(A)</w:t>
      </w:r>
      <w:r>
        <w:rPr>
          <w:rFonts w:eastAsia="Times New Roman" w:cs="Times New Roman"/>
          <w:szCs w:val="20"/>
        </w:rPr>
        <w:tab/>
        <w:t>Effective January 1, 2009, the following offices, divisions, or components of the State Budget and Control Board, the Office of the Governor, or other agencies are transferred to, and incorporated into, the Department of Administration, a department of the executive branch of state government headed by a director appointed by the Governor as provided in Section 1</w:t>
      </w:r>
      <w:r>
        <w:rPr>
          <w:rFonts w:eastAsia="Times New Roman" w:cs="Times New Roman"/>
          <w:szCs w:val="20"/>
        </w:rPr>
        <w:noBreakHyphen/>
        <w:t>30</w:t>
      </w:r>
      <w:r>
        <w:rPr>
          <w:rFonts w:eastAsia="Times New Roman" w:cs="Times New Roman"/>
          <w:szCs w:val="20"/>
        </w:rPr>
        <w:noBreakHyphen/>
        <w:t>10(B)(1)(i), except that this appointment must be upon the advice and consent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Division of General Services including Facilities Management, Business Services together with Fleet Management, and Property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Office of Human Resources and Office of Research and Statistics of the Budget and Analysis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Office of Executive Policy and Programs, except for the State Ombudsman and Children’s Services programs which are contained within this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State Energy Office as established by Section 48</w:t>
      </w:r>
      <w:r>
        <w:rPr>
          <w:rFonts w:eastAsia="Times New Roman" w:cs="Times New Roman"/>
          <w:szCs w:val="20"/>
        </w:rPr>
        <w:noBreakHyphen/>
        <w:t>52</w:t>
      </w:r>
      <w:r>
        <w:rPr>
          <w:rFonts w:eastAsia="Times New Roman" w:cs="Times New Roman"/>
          <w:szCs w:val="20"/>
        </w:rPr>
        <w:noBreakHyphen/>
        <w:t>410;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Office of Economic Opportunity;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Developmental Disabilities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Continuum of Care as established by Section 20</w:t>
      </w:r>
      <w:r>
        <w:rPr>
          <w:rFonts w:eastAsia="Times New Roman" w:cs="Times New Roman"/>
          <w:szCs w:val="20"/>
        </w:rPr>
        <w:noBreakHyphen/>
        <w:t>7</w:t>
      </w:r>
      <w:r>
        <w:rPr>
          <w:rFonts w:eastAsia="Times New Roman" w:cs="Times New Roman"/>
          <w:szCs w:val="20"/>
        </w:rPr>
        <w:noBreakHyphen/>
        <w:t>5610;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Children’s Foster Care as established by Section 20</w:t>
      </w:r>
      <w:r>
        <w:rPr>
          <w:rFonts w:eastAsia="Times New Roman" w:cs="Times New Roman"/>
          <w:szCs w:val="20"/>
        </w:rPr>
        <w:noBreakHyphen/>
        <w:t>7</w:t>
      </w:r>
      <w:r>
        <w:rPr>
          <w:rFonts w:eastAsia="Times New Roman" w:cs="Times New Roman"/>
          <w:szCs w:val="20"/>
        </w:rPr>
        <w:noBreakHyphen/>
        <w:t>2379;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Veterans Affairs as established by Section 25</w:t>
      </w:r>
      <w:r>
        <w:rPr>
          <w:rFonts w:eastAsia="Times New Roman" w:cs="Times New Roman"/>
          <w:szCs w:val="20"/>
        </w:rPr>
        <w:noBreakHyphen/>
        <w:t>11</w:t>
      </w:r>
      <w:r>
        <w:rPr>
          <w:rFonts w:eastAsia="Times New Roman" w:cs="Times New Roman"/>
          <w:szCs w:val="20"/>
        </w:rPr>
        <w:noBreakHyphen/>
        <w:t>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Commission on Women as established by Section 1</w:t>
      </w:r>
      <w:r>
        <w:rPr>
          <w:rFonts w:eastAsia="Times New Roman" w:cs="Times New Roman"/>
          <w:szCs w:val="20"/>
        </w:rPr>
        <w:noBreakHyphen/>
        <w:t>15</w:t>
      </w:r>
      <w:r>
        <w:rPr>
          <w:rFonts w:eastAsia="Times New Roman" w:cs="Times New Roman"/>
          <w:szCs w:val="20"/>
        </w:rPr>
        <w:noBreakHyphen/>
        <w:t>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Victims Assistance as established by Article 13, Chapter 3, Title 16;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Small and Minority Business as established by Section 11</w:t>
      </w:r>
      <w:r>
        <w:rPr>
          <w:rFonts w:eastAsia="Times New Roman" w:cs="Times New Roman"/>
          <w:szCs w:val="20"/>
        </w:rPr>
        <w:noBreakHyphen/>
        <w:t>35</w:t>
      </w:r>
      <w:r>
        <w:rPr>
          <w:rFonts w:eastAsia="Times New Roman" w:cs="Times New Roman"/>
          <w:szCs w:val="20"/>
        </w:rPr>
        <w:noBreakHyphen/>
        <w:t>5270.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Department of Administration shall, during the absence of the Governor from Columbia, be placed in charge of the records and papers in the executive chamber.  He shall keep in Columbia all the books, records, and papers belonging thereto.”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w:t>
      </w:r>
      <w:r>
        <w:rPr>
          <w:rFonts w:eastAsia="Times New Roman" w:cs="Times New Roman"/>
          <w:szCs w:val="20"/>
        </w:rPr>
        <w:tab/>
      </w:r>
      <w:r>
        <w:rPr>
          <w:rFonts w:eastAsia="Times New Roman" w:cs="Times New Roman"/>
          <w:szCs w:val="20"/>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B443DF-716A-4BA4-8AEE-89EAEFE25558}"/>
    <w:embedBold r:id="rId2" w:fontKey="{B020FA8F-2700-4266-A6AD-A0E35F694FB1}"/>
  </w:font>
  <w:font w:name="Calibri">
    <w:panose1 w:val="020F0502020204030204"/>
    <w:charset w:val="00"/>
    <w:family w:val="swiss"/>
    <w:pitch w:val="variable"/>
    <w:sig w:usb0="A00002EF" w:usb1="4000207B" w:usb2="00000000" w:usb3="00000000" w:csb0="0000009F" w:csb1="00000000"/>
    <w:embedRegular r:id="rId3" w:fontKey="{CDB1ED21-73DE-4A68-B1A3-755F69BCC417}"/>
  </w:font>
  <w:font w:name="Tahoma">
    <w:panose1 w:val="020B0604030504040204"/>
    <w:charset w:val="00"/>
    <w:family w:val="swiss"/>
    <w:pitch w:val="variable"/>
    <w:sig w:usb0="61002A87" w:usb1="80000000" w:usb2="00000008" w:usb3="00000000" w:csb0="000101FF" w:csb1="00000000"/>
    <w:embedRegular r:id="rId4" w:fontKey="{ACC710B8-5C62-475C-B024-5899E35B411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5E38134-C2FA-4EC0-9AD2-256F4D4531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[128]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660</Words>
  <Characters>3762</Characters>
  <Application>Microsoft Office Word</Application>
  <DocSecurity>0</DocSecurity>
  <Lines>31</Lines>
  <Paragraphs>8</Paragraphs>
  <ScaleCrop>false</ScaleCrop>
  <Company>Project Management</Company>
  <LinksUpToDate>false</LinksUpToDate>
  <CharactersWithSpaces>4414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2008-12-10T20:39:00Z</dcterms:created>
  <dcterms:modified xsi:type="dcterms:W3CDTF">2008-12-10T20:39:00Z</dcterms:modified>
</cp:coreProperties>
</file>