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22</w:t>
      </w:r>
      <w:r>
        <w:rPr>
          <w:rFonts w:eastAsia="Times New Roman" w:cs="Times New Roman"/>
        </w:rPr>
        <w:noBreakHyphen/>
        <w:t>1</w:t>
      </w:r>
      <w:r>
        <w:rPr>
          <w:rFonts w:eastAsia="Times New Roman" w:cs="Times New Roman"/>
        </w:rPr>
        <w:noBreakHyphen/>
        <w:t>10 OF THE 1976 CODE, RELATING TO THE APPOINTMENT, TERM, AND TERRITORIAL JURISDICTION OF MAGISTRATES, TO PROVIDE THAT THE SUPREME COURT MUST PROVIDE THE GOVERNOR WITH NOMINEES TO FILL MAGISTRATE VACANCIES; AND TO AMEND SECTION 22</w:t>
      </w:r>
      <w:r>
        <w:rPr>
          <w:rFonts w:eastAsia="Times New Roman" w:cs="Times New Roman"/>
        </w:rPr>
        <w:noBreakHyphen/>
        <w:t>2</w:t>
      </w:r>
      <w:r>
        <w:rPr>
          <w:rFonts w:eastAsia="Times New Roman" w:cs="Times New Roman"/>
        </w:rPr>
        <w:noBreakHyphen/>
        <w:t>10 TO PROVIDE THAT THE SUPREME COURT MAY APPOINT A SCREENING COMMITTEE TO ASSIST IN THEIR SELECTION OF NOMINEES.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22</w:t>
      </w:r>
      <w:r>
        <w:rPr>
          <w:rFonts w:eastAsia="Times New Roman" w:cs="Times New Roman"/>
          <w:szCs w:val="20"/>
        </w:rPr>
        <w:noBreakHyphen/>
        <w:t>1</w:t>
      </w:r>
      <w:r>
        <w:rPr>
          <w:rFonts w:eastAsia="Times New Roman" w:cs="Times New Roman"/>
          <w:szCs w:val="20"/>
        </w:rPr>
        <w:noBreakHyphen/>
        <w:t>10(A)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t>“Section 22</w:t>
      </w:r>
      <w:r>
        <w:rPr>
          <w:rFonts w:eastAsia="Times New Roman" w:cs="Times New Roman"/>
          <w:szCs w:val="20"/>
        </w:rPr>
        <w:noBreakHyphen/>
        <w:t>1</w:t>
      </w:r>
      <w:r>
        <w:rPr>
          <w:rFonts w:eastAsia="Times New Roman" w:cs="Times New Roman"/>
          <w:szCs w:val="20"/>
        </w:rPr>
        <w:noBreakHyphen/>
        <w:t>10.</w:t>
      </w:r>
      <w:r>
        <w:rPr>
          <w:rFonts w:eastAsia="Times New Roman" w:cs="Times New Roman"/>
          <w:szCs w:val="20"/>
        </w:rPr>
        <w:tab/>
        <w:t>(A)</w:t>
      </w:r>
      <w:r>
        <w:rPr>
          <w:rFonts w:eastAsia="Times New Roman" w:cs="Times New Roman"/>
          <w:szCs w:val="20"/>
        </w:rPr>
        <w:tab/>
        <w:t xml:space="preserve">The Governor, by and with the advice and consent of the Senate,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appoint magistrates in each county of the State </w:t>
      </w:r>
      <w:r>
        <w:rPr>
          <w:rFonts w:eastAsia="Times New Roman" w:cs="Times New Roman"/>
          <w:szCs w:val="20"/>
          <w:u w:val="single"/>
        </w:rPr>
        <w:t>from among the nominees provided to him by the Supreme Court.  Magistrates shall serve</w:t>
      </w:r>
      <w:r>
        <w:rPr>
          <w:rFonts w:eastAsia="Times New Roman" w:cs="Times New Roman"/>
          <w:szCs w:val="20"/>
        </w:rPr>
        <w:t xml:space="preserve"> for a term of four years and until their successors are appointed and qualified.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At least ninety days before the date of the commencement of the terms provided in the preceding paragraph and every four years thereafter, each county governing body must inform, in writing, the </w:t>
      </w:r>
      <w:r>
        <w:rPr>
          <w:rFonts w:eastAsia="Times New Roman" w:cs="Times New Roman"/>
          <w:strike/>
          <w:szCs w:val="20"/>
        </w:rPr>
        <w:t>Senators representing that county</w:t>
      </w:r>
      <w:r>
        <w:rPr>
          <w:rFonts w:eastAsia="Times New Roman" w:cs="Times New Roman"/>
          <w:szCs w:val="20"/>
        </w:rPr>
        <w:t xml:space="preserve"> </w:t>
      </w:r>
      <w:r>
        <w:rPr>
          <w:rFonts w:eastAsia="Times New Roman" w:cs="Times New Roman"/>
          <w:szCs w:val="20"/>
          <w:u w:val="single"/>
        </w:rPr>
        <w:t>Clerk of the Supreme Court</w:t>
      </w:r>
      <w:r>
        <w:rPr>
          <w:rFonts w:eastAsia="Times New Roman" w:cs="Times New Roman"/>
          <w:szCs w:val="20"/>
        </w:rPr>
        <w:t xml:space="preserve"> of the number of full</w:t>
      </w:r>
      <w:r>
        <w:rPr>
          <w:rFonts w:eastAsia="Times New Roman" w:cs="Times New Roman"/>
          <w:szCs w:val="20"/>
        </w:rPr>
        <w:noBreakHyphen/>
        <w:t>time and part</w:t>
      </w:r>
      <w:r>
        <w:rPr>
          <w:rFonts w:eastAsia="Times New Roman" w:cs="Times New Roman"/>
          <w:szCs w:val="20"/>
        </w:rPr>
        <w:noBreakHyphen/>
        <w:t xml:space="preserve">time magistrate positions available in the county, the number of work hours required by each position, the compensation for each position, and the area of the county to which each position is assigned.  If the county governing body fails to inform, in writing, the </w:t>
      </w:r>
      <w:r>
        <w:rPr>
          <w:rFonts w:eastAsia="Times New Roman" w:cs="Times New Roman"/>
          <w:strike/>
          <w:szCs w:val="20"/>
        </w:rPr>
        <w:t>Senators representing that county</w:t>
      </w:r>
      <w:r>
        <w:rPr>
          <w:rFonts w:eastAsia="Times New Roman" w:cs="Times New Roman"/>
          <w:szCs w:val="20"/>
        </w:rPr>
        <w:t xml:space="preserve"> </w:t>
      </w:r>
      <w:r>
        <w:rPr>
          <w:rFonts w:eastAsia="Times New Roman" w:cs="Times New Roman"/>
          <w:szCs w:val="20"/>
          <w:u w:val="single"/>
        </w:rPr>
        <w:t>Clerk of the Supreme Court</w:t>
      </w:r>
      <w:r>
        <w:rPr>
          <w:rFonts w:eastAsia="Times New Roman" w:cs="Times New Roman"/>
          <w:szCs w:val="20"/>
        </w:rPr>
        <w:t xml:space="preserve"> of the information as required in this section, then the compensation, hours, and location of the full</w:t>
      </w:r>
      <w:r>
        <w:rPr>
          <w:rFonts w:eastAsia="Times New Roman" w:cs="Times New Roman"/>
          <w:szCs w:val="20"/>
        </w:rPr>
        <w:noBreakHyphen/>
        <w:t>time and part</w:t>
      </w:r>
      <w:r>
        <w:rPr>
          <w:rFonts w:eastAsia="Times New Roman" w:cs="Times New Roman"/>
          <w:szCs w:val="20"/>
        </w:rPr>
        <w:noBreakHyphen/>
        <w:t xml:space="preserve">time magistrate positions available in the county remain as designated for the previous four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Each magistrate’s number of work hours, compensation, and work location must remain the same throughout the term of office, except for a change (1) specifically allowed by statute</w:t>
      </w:r>
      <w:r>
        <w:rPr>
          <w:rFonts w:eastAsia="Times New Roman" w:cs="Times New Roman"/>
          <w:szCs w:val="20"/>
          <w:u w:val="single"/>
        </w:rPr>
        <w:t>,</w:t>
      </w:r>
      <w:r>
        <w:rPr>
          <w:rFonts w:eastAsia="Times New Roman" w:cs="Times New Roman"/>
          <w:szCs w:val="20"/>
        </w:rPr>
        <w:t xml:space="preserve"> or (2) authorized by the county governing body at least four years after the magistrate’s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The number of magistrates to be appointed for each county and their territorial jurisdiction are as prescribed by law before March 2, 1897, for trial justices in the respective counties of the State, except as otherwise provided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22</w:t>
      </w:r>
      <w:r>
        <w:rPr>
          <w:rFonts w:eastAsia="Times New Roman" w:cs="Times New Roman"/>
          <w:szCs w:val="20"/>
        </w:rPr>
        <w:noBreakHyphen/>
        <w:t>2</w:t>
      </w:r>
      <w:r>
        <w:rPr>
          <w:rFonts w:eastAsia="Times New Roman" w:cs="Times New Roman"/>
          <w:szCs w:val="20"/>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22</w:t>
      </w:r>
      <w:r>
        <w:rPr>
          <w:rFonts w:eastAsia="Times New Roman" w:cs="Times New Roman"/>
          <w:szCs w:val="20"/>
        </w:rPr>
        <w:noBreakHyphen/>
        <w:t>2</w:t>
      </w:r>
      <w:r>
        <w:rPr>
          <w:rFonts w:eastAsia="Times New Roman" w:cs="Times New Roman"/>
          <w:szCs w:val="20"/>
        </w:rPr>
        <w:noBreakHyphen/>
        <w:t>10.</w:t>
      </w:r>
      <w:r>
        <w:rPr>
          <w:rFonts w:eastAsia="Times New Roman" w:cs="Times New Roman"/>
          <w:szCs w:val="20"/>
        </w:rPr>
        <w:tab/>
      </w:r>
      <w:r>
        <w:rPr>
          <w:rFonts w:eastAsia="Times New Roman" w:cs="Times New Roman"/>
          <w:strike/>
          <w:szCs w:val="20"/>
        </w:rPr>
        <w:t>A senatorial delegation</w:t>
      </w:r>
      <w:r>
        <w:rPr>
          <w:rFonts w:eastAsia="Times New Roman" w:cs="Times New Roman"/>
          <w:szCs w:val="20"/>
        </w:rPr>
        <w:t xml:space="preserve"> </w:t>
      </w:r>
      <w:r>
        <w:rPr>
          <w:rFonts w:eastAsia="Times New Roman" w:cs="Times New Roman"/>
          <w:szCs w:val="20"/>
          <w:u w:val="single"/>
        </w:rPr>
        <w:t>The Supreme Court,</w:t>
      </w:r>
      <w:r>
        <w:rPr>
          <w:rFonts w:eastAsia="Times New Roman" w:cs="Times New Roman"/>
          <w:szCs w:val="20"/>
        </w:rPr>
        <w:t xml:space="preserve"> in determining the persons to be recommended to the Governor for appointment as magistrates</w:t>
      </w:r>
      <w:r>
        <w:rPr>
          <w:rFonts w:eastAsia="Times New Roman" w:cs="Times New Roman"/>
          <w:szCs w:val="20"/>
          <w:u w:val="single"/>
        </w:rPr>
        <w:t>,</w:t>
      </w:r>
      <w:r>
        <w:rPr>
          <w:rFonts w:eastAsia="Times New Roman" w:cs="Times New Roman"/>
          <w:szCs w:val="20"/>
        </w:rPr>
        <w:t xml:space="preserve"> may appoint a screening committee to assist </w:t>
      </w:r>
      <w:r>
        <w:rPr>
          <w:rFonts w:eastAsia="Times New Roman" w:cs="Times New Roman"/>
          <w:strike/>
          <w:szCs w:val="20"/>
        </w:rPr>
        <w:t>them</w:t>
      </w:r>
      <w:r>
        <w:rPr>
          <w:rFonts w:eastAsia="Times New Roman" w:cs="Times New Roman"/>
          <w:szCs w:val="20"/>
        </w:rPr>
        <w:t xml:space="preserve"> in their selection of nominees.”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9265BA-EA75-42A0-8A58-CE7B05AA0D4A}"/>
    <w:embedBold r:id="rId2" w:fontKey="{9033DCB9-B5F5-4CC7-822D-3C267F4549EE}"/>
  </w:font>
  <w:font w:name="Calibri">
    <w:panose1 w:val="020F0502020204030204"/>
    <w:charset w:val="00"/>
    <w:family w:val="swiss"/>
    <w:pitch w:val="variable"/>
    <w:sig w:usb0="A00002EF" w:usb1="4000207B" w:usb2="00000000" w:usb3="00000000" w:csb0="0000009F" w:csb1="00000000"/>
    <w:embedRegular r:id="rId3" w:fontKey="{136042BE-B2C6-481A-A7F7-71942E52464E}"/>
  </w:font>
  <w:font w:name="Tahoma">
    <w:panose1 w:val="020B0604030504040204"/>
    <w:charset w:val="00"/>
    <w:family w:val="swiss"/>
    <w:pitch w:val="variable"/>
    <w:sig w:usb0="61002A87" w:usb1="80000000" w:usb2="00000008" w:usb3="00000000" w:csb0="000101FF" w:csb1="00000000"/>
    <w:embedRegular r:id="rId4" w:fontKey="{1A42AA5F-801E-48B3-A6C5-A00527C153B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4C84F2A-286D-45F2-9C9D-03B0C027F0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[137]</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531</Words>
  <Characters>3032</Characters>
  <Application>Microsoft Office Word</Application>
  <DocSecurity>0</DocSecurity>
  <Lines>25</Lines>
  <Paragraphs>7</Paragraphs>
  <ScaleCrop>false</ScaleCrop>
  <Company>Project Management</Company>
  <LinksUpToDate>false</LinksUpToDate>
  <CharactersWithSpaces>3556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2008-12-10T20:41:00Z</dcterms:created>
  <dcterms:modified xsi:type="dcterms:W3CDTF">2008-12-10T20:41:00Z</dcterms:modified>
</cp:coreProperties>
</file>