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THE 1976 CODE TO ENACT THE “HOME INVASION PROTECTION ACT”, BY ADDING SECTION 16</w:t>
      </w:r>
      <w:r>
        <w:rPr>
          <w:rFonts w:eastAsia="Times New Roman" w:cs="Times New Roman"/>
        </w:rPr>
        <w:noBreakHyphen/>
        <w:t>11</w:t>
      </w:r>
      <w:r>
        <w:rPr>
          <w:rFonts w:eastAsia="Times New Roman" w:cs="Times New Roman"/>
        </w:rPr>
        <w:noBreakHyphen/>
        <w:t>395 TO ESTABLISH THE OFFENSES OF HOME INVASION IN THE FIRST, SECOND, AND THIRD DEGREES, AND TO PROVIDE GRADUATED PENALTIES; TO AMEND SECTION 16</w:t>
      </w:r>
      <w:r>
        <w:rPr>
          <w:rFonts w:eastAsia="Times New Roman" w:cs="Times New Roman"/>
        </w:rPr>
        <w:noBreakHyphen/>
        <w:t>1</w:t>
      </w:r>
      <w:r>
        <w:rPr>
          <w:rFonts w:eastAsia="Times New Roman" w:cs="Times New Roman"/>
        </w:rPr>
        <w:noBreakHyphen/>
        <w:t>60, RELATING TO VIOLENT OFFENSES, TO INCLUDE HOME INVASION, FIRST AND SECOND DEGREE; AND TO AMEND SECTION 16</w:t>
      </w:r>
      <w:r>
        <w:rPr>
          <w:rFonts w:eastAsia="Times New Roman" w:cs="Times New Roman"/>
        </w:rPr>
        <w:noBreakHyphen/>
        <w:t>3</w:t>
      </w:r>
      <w:r>
        <w:rPr>
          <w:rFonts w:eastAsia="Times New Roman" w:cs="Times New Roman"/>
        </w:rPr>
        <w:noBreakHyphen/>
        <w:t>20, RELATING TO THE PUNISHMENT FOR MURDER, TO INCLUDE AS A SEPARATE STATUTORY AGGRAVATING CIRCUMSTANCE WHICH MAY BE CONSIDERED IN THE DETERMINATION OF WHETHER THE DEATH PENALTY SHOULD BE IMPOSED, A MURDER COMMITTED WHILE IN THE COMMISSION OF THE OFFENSE OF HOME INVASION IN THE FIRST DEGREE.</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This act may be cited as the “Home Invasion Protection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Article 5, Chapter 11, Title 16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16</w:t>
      </w:r>
      <w:r>
        <w:rPr>
          <w:rFonts w:eastAsia="Times New Roman" w:cs="Times New Roman"/>
          <w:szCs w:val="20"/>
        </w:rPr>
        <w:noBreakHyphen/>
        <w:t>11</w:t>
      </w:r>
      <w:r>
        <w:rPr>
          <w:rFonts w:eastAsia="Times New Roman" w:cs="Times New Roman"/>
          <w:szCs w:val="20"/>
        </w:rPr>
        <w:noBreakHyphen/>
        <w:t>395.</w:t>
      </w:r>
      <w:r>
        <w:rPr>
          <w:rFonts w:eastAsia="Times New Roman" w:cs="Times New Roman"/>
          <w:szCs w:val="20"/>
        </w:rPr>
        <w:tab/>
        <w:t>(A)</w:t>
      </w:r>
      <w:r>
        <w:rPr>
          <w:rFonts w:eastAsia="Times New Roman" w:cs="Times New Roman"/>
          <w:szCs w:val="20"/>
        </w:rPr>
        <w:tab/>
        <w:t>As used in this section, the term: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‘dwelling’ is as defined in Section 16</w:t>
      </w:r>
      <w:r>
        <w:rPr>
          <w:rFonts w:eastAsia="Times New Roman" w:cs="Times New Roman"/>
          <w:szCs w:val="20"/>
        </w:rPr>
        <w:noBreakHyphen/>
        <w:t>11</w:t>
      </w:r>
      <w:r>
        <w:rPr>
          <w:rFonts w:eastAsia="Times New Roman" w:cs="Times New Roman"/>
          <w:szCs w:val="20"/>
        </w:rPr>
        <w:noBreakHyphen/>
        <w:t>310;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‘enters a dwelling without consent’ is as defined in Section 16</w:t>
      </w:r>
      <w:r>
        <w:rPr>
          <w:rFonts w:eastAsia="Times New Roman" w:cs="Times New Roman"/>
          <w:szCs w:val="20"/>
        </w:rPr>
        <w:noBreakHyphen/>
        <w:t>11</w:t>
      </w:r>
      <w:r>
        <w:rPr>
          <w:rFonts w:eastAsia="Times New Roman" w:cs="Times New Roman"/>
          <w:szCs w:val="20"/>
        </w:rPr>
        <w:noBreakHyphen/>
        <w:t>310;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‘dangerous weapon’ means a knife, pistol, revolver, rifle, shotgun, machine gun, or other firearm, dirk, slingshot, metal knuckles, razor, other deadly weapon, or another item that appears to be one of these;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 person is guilty of home invasion in the first degree if the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enters a dwelling without consent;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with the intent to commit a felony, larceny, or assault in the dwelling;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is armed with a dangerous weapon;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personally uses a dangerous weapon that proximately causes great bodily harm, permanent disability or disfigurement, or death to a person who is lawfully present in the dwelling.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A person is guilty of home invasion in the second degree if the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enters a dwelling without consent;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with the intent to commit a felony, larceny, or assault in the dwelling;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is armed with a dangerous weapon;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uses force or threatens the use of force on a person who is lawfully present in the dwelling.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A person is guilty of home invasion in the third degree if the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enters a dwelling without consent;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with the intent to commit a felony, larceny, or assault in the dwelling;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is armed with a dangerous weapon;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another person is lawfully present in the dwelling.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This section does not apply to a law enforcement officer acting within the scope of his official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A person who violates the provisions of home invasion in the first degree is guilty of a felony and, upon conviction, must be imprisoned for a period of years up to life in prison, but not less than a mandatory minimum term of twenty</w:t>
      </w:r>
      <w:r>
        <w:rPr>
          <w:rFonts w:eastAsia="Times New Roman" w:cs="Times New Roman"/>
          <w:szCs w:val="20"/>
        </w:rPr>
        <w:noBreakHyphen/>
        <w:t>five years, no part of which may be suspended or probation granted, and which must be served consecutively to another sentence imposed.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A person who violates the provisions of home invasion in the second degree is guilty of a felony and, upon conviction, must be imprisoned for a mandatory minimum term of not less than twenty years, no part of which may be suspended or probation granted, and which must be served consecutively to another sentence imposed.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(H)</w:t>
      </w:r>
      <w:r>
        <w:rPr>
          <w:rFonts w:eastAsia="Times New Roman" w:cs="Times New Roman"/>
          <w:szCs w:val="20"/>
        </w:rPr>
        <w:tab/>
        <w:t>A person who violates the provisions of home invasion in the third degree is guilty of a felony and, upon conviction, must be imprisoned for a mandatory minimum term of not less than fifteen years, no part of which may be suspended or probation granted, and which must be served consecutively to another sentence imposed.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(I)</w:t>
      </w:r>
      <w:r>
        <w:rPr>
          <w:rFonts w:eastAsia="Times New Roman" w:cs="Times New Roman"/>
          <w:szCs w:val="20"/>
        </w:rPr>
        <w:tab/>
        <w:t>A person sentenced to a mandatory minimum term of imprisonment pursuant to this section is not eligible for parole or an early release program, nor is the person eligible to receive work credits, education credits, good conduct credits, or other credits that would reduce the mandatory minimum term of imprisonment required by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3.</w:t>
      </w:r>
      <w:r>
        <w:rPr>
          <w:rFonts w:eastAsia="MS Mincho" w:cs="Times New Roman"/>
          <w:szCs w:val="20"/>
        </w:rPr>
        <w:tab/>
        <w:t>Section 16</w:t>
      </w:r>
      <w:r>
        <w:rPr>
          <w:rFonts w:eastAsia="MS Mincho" w:cs="Times New Roman"/>
          <w:szCs w:val="20"/>
        </w:rPr>
        <w:noBreakHyphen/>
        <w:t>1</w:t>
      </w:r>
      <w:r>
        <w:rPr>
          <w:rFonts w:eastAsia="MS Mincho" w:cs="Times New Roman"/>
          <w:szCs w:val="20"/>
        </w:rPr>
        <w:noBreakHyphen/>
        <w:t>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16</w:t>
      </w:r>
      <w:r>
        <w:rPr>
          <w:rFonts w:eastAsia="MS Mincho" w:cs="Times New Roman"/>
          <w:szCs w:val="20"/>
        </w:rPr>
        <w:noBreakHyphen/>
        <w:t>1</w:t>
      </w:r>
      <w:r>
        <w:rPr>
          <w:rFonts w:eastAsia="MS Mincho" w:cs="Times New Roman"/>
          <w:szCs w:val="20"/>
        </w:rPr>
        <w:noBreakHyphen/>
        <w:t>60.</w:t>
      </w:r>
      <w:r>
        <w:rPr>
          <w:rFonts w:eastAsia="MS Mincho" w:cs="Times New Roman"/>
          <w:szCs w:val="20"/>
        </w:rPr>
        <w:tab/>
        <w:t>For purposes of definition under South Carolina law, a violent crime includes the offenses of: murder (Section 16</w:t>
      </w:r>
      <w:r>
        <w:rPr>
          <w:rFonts w:eastAsia="MS Mincho" w:cs="Times New Roman"/>
          <w:szCs w:val="20"/>
        </w:rPr>
        <w:noBreakHyphen/>
        <w:t>3</w:t>
      </w:r>
      <w:r>
        <w:rPr>
          <w:rFonts w:eastAsia="MS Mincho" w:cs="Times New Roman"/>
          <w:szCs w:val="20"/>
        </w:rPr>
        <w:noBreakHyphen/>
        <w:t>10); criminal sexual conduct in the first and second degree (Sections 16</w:t>
      </w:r>
      <w:r>
        <w:rPr>
          <w:rFonts w:eastAsia="MS Mincho" w:cs="Times New Roman"/>
          <w:szCs w:val="20"/>
        </w:rPr>
        <w:noBreakHyphen/>
        <w:t>3</w:t>
      </w:r>
      <w:r>
        <w:rPr>
          <w:rFonts w:eastAsia="MS Mincho" w:cs="Times New Roman"/>
          <w:szCs w:val="20"/>
        </w:rPr>
        <w:noBreakHyphen/>
        <w:t>652 and 16</w:t>
      </w:r>
      <w:r>
        <w:rPr>
          <w:rFonts w:eastAsia="MS Mincho" w:cs="Times New Roman"/>
          <w:szCs w:val="20"/>
        </w:rPr>
        <w:noBreakHyphen/>
        <w:t>3</w:t>
      </w:r>
      <w:r>
        <w:rPr>
          <w:rFonts w:eastAsia="MS Mincho" w:cs="Times New Roman"/>
          <w:szCs w:val="20"/>
        </w:rPr>
        <w:noBreakHyphen/>
        <w:t>653); criminal sexual conduct with minors, first and second degree (Section 16</w:t>
      </w:r>
      <w:r>
        <w:rPr>
          <w:rFonts w:eastAsia="MS Mincho" w:cs="Times New Roman"/>
          <w:szCs w:val="20"/>
        </w:rPr>
        <w:noBreakHyphen/>
        <w:t>3</w:t>
      </w:r>
      <w:r>
        <w:rPr>
          <w:rFonts w:eastAsia="MS Mincho" w:cs="Times New Roman"/>
          <w:szCs w:val="20"/>
        </w:rPr>
        <w:noBreakHyphen/>
        <w:t>655); assault with intent to commit criminal sexual conduct, first and second degree (Section 16</w:t>
      </w:r>
      <w:r>
        <w:rPr>
          <w:rFonts w:eastAsia="MS Mincho" w:cs="Times New Roman"/>
          <w:szCs w:val="20"/>
        </w:rPr>
        <w:noBreakHyphen/>
        <w:t>3</w:t>
      </w:r>
      <w:r>
        <w:rPr>
          <w:rFonts w:eastAsia="MS Mincho" w:cs="Times New Roman"/>
          <w:szCs w:val="20"/>
        </w:rPr>
        <w:noBreakHyphen/>
        <w:t>656); assault and battery with intent to kill (Section 16</w:t>
      </w:r>
      <w:r>
        <w:rPr>
          <w:rFonts w:eastAsia="MS Mincho" w:cs="Times New Roman"/>
          <w:szCs w:val="20"/>
        </w:rPr>
        <w:noBreakHyphen/>
        <w:t>3</w:t>
      </w:r>
      <w:r>
        <w:rPr>
          <w:rFonts w:eastAsia="MS Mincho" w:cs="Times New Roman"/>
          <w:szCs w:val="20"/>
        </w:rPr>
        <w:noBreakHyphen/>
        <w:t>620); kidnapping (Section 16</w:t>
      </w:r>
      <w:r>
        <w:rPr>
          <w:rFonts w:eastAsia="MS Mincho" w:cs="Times New Roman"/>
          <w:szCs w:val="20"/>
        </w:rPr>
        <w:noBreakHyphen/>
        <w:t>3</w:t>
      </w:r>
      <w:r>
        <w:rPr>
          <w:rFonts w:eastAsia="MS Mincho" w:cs="Times New Roman"/>
          <w:szCs w:val="20"/>
        </w:rPr>
        <w:noBreakHyphen/>
        <w:t>910); voluntary manslaughter (Section 16</w:t>
      </w:r>
      <w:r>
        <w:rPr>
          <w:rFonts w:eastAsia="MS Mincho" w:cs="Times New Roman"/>
          <w:szCs w:val="20"/>
        </w:rPr>
        <w:noBreakHyphen/>
        <w:t>3</w:t>
      </w:r>
      <w:r>
        <w:rPr>
          <w:rFonts w:eastAsia="MS Mincho" w:cs="Times New Roman"/>
          <w:szCs w:val="20"/>
        </w:rPr>
        <w:noBreakHyphen/>
        <w:t>50); armed robbery (Section 16</w:t>
      </w:r>
      <w:r>
        <w:rPr>
          <w:rFonts w:eastAsia="MS Mincho" w:cs="Times New Roman"/>
          <w:szCs w:val="20"/>
        </w:rPr>
        <w:noBreakHyphen/>
        <w:t>11</w:t>
      </w:r>
      <w:r>
        <w:rPr>
          <w:rFonts w:eastAsia="MS Mincho" w:cs="Times New Roman"/>
          <w:szCs w:val="20"/>
        </w:rPr>
        <w:noBreakHyphen/>
        <w:t>330(A)</w:t>
      </w:r>
      <w:r>
        <w:rPr>
          <w:rFonts w:eastAsia="MS Mincho" w:cs="Times New Roman"/>
          <w:strike/>
          <w:szCs w:val="20"/>
        </w:rPr>
        <w:t>)</w:t>
      </w:r>
      <w:r>
        <w:rPr>
          <w:rFonts w:eastAsia="MS Mincho" w:cs="Times New Roman"/>
          <w:szCs w:val="20"/>
        </w:rPr>
        <w:t>; attempted armed robbery (Section 16</w:t>
      </w:r>
      <w:r>
        <w:rPr>
          <w:rFonts w:eastAsia="MS Mincho" w:cs="Times New Roman"/>
          <w:szCs w:val="20"/>
        </w:rPr>
        <w:noBreakHyphen/>
        <w:t>11</w:t>
      </w:r>
      <w:r>
        <w:rPr>
          <w:rFonts w:eastAsia="MS Mincho" w:cs="Times New Roman"/>
          <w:szCs w:val="20"/>
        </w:rPr>
        <w:noBreakHyphen/>
        <w:t>330(B)); carjacking (Section 16</w:t>
      </w:r>
      <w:r>
        <w:rPr>
          <w:rFonts w:eastAsia="MS Mincho" w:cs="Times New Roman"/>
          <w:szCs w:val="20"/>
        </w:rPr>
        <w:noBreakHyphen/>
        <w:t>3</w:t>
      </w:r>
      <w:r>
        <w:rPr>
          <w:rFonts w:eastAsia="MS Mincho" w:cs="Times New Roman"/>
          <w:szCs w:val="20"/>
        </w:rPr>
        <w:noBreakHyphen/>
        <w:t>1075); drug trafficking as defined in Section 44</w:t>
      </w:r>
      <w:r>
        <w:rPr>
          <w:rFonts w:eastAsia="MS Mincho" w:cs="Times New Roman"/>
          <w:szCs w:val="20"/>
        </w:rPr>
        <w:noBreakHyphen/>
        <w:t>53</w:t>
      </w:r>
      <w:r>
        <w:rPr>
          <w:rFonts w:eastAsia="MS Mincho" w:cs="Times New Roman"/>
          <w:szCs w:val="20"/>
        </w:rPr>
        <w:noBreakHyphen/>
        <w:t>370(e) or trafficking cocaine base as defined in Section 44</w:t>
      </w:r>
      <w:r>
        <w:rPr>
          <w:rFonts w:eastAsia="MS Mincho" w:cs="Times New Roman"/>
          <w:szCs w:val="20"/>
        </w:rPr>
        <w:noBreakHyphen/>
        <w:t>53</w:t>
      </w:r>
      <w:r>
        <w:rPr>
          <w:rFonts w:eastAsia="MS Mincho" w:cs="Times New Roman"/>
          <w:szCs w:val="20"/>
        </w:rPr>
        <w:noBreakHyphen/>
        <w:t>375(C); manufacturing or trafficking methamphetamine as defined in Section 44</w:t>
      </w:r>
      <w:r>
        <w:rPr>
          <w:rFonts w:eastAsia="MS Mincho" w:cs="Times New Roman"/>
          <w:szCs w:val="20"/>
        </w:rPr>
        <w:noBreakHyphen/>
        <w:t>53</w:t>
      </w:r>
      <w:r>
        <w:rPr>
          <w:rFonts w:eastAsia="MS Mincho" w:cs="Times New Roman"/>
          <w:szCs w:val="20"/>
        </w:rPr>
        <w:noBreakHyphen/>
        <w:t>375; arson in the first degree (Section 16</w:t>
      </w:r>
      <w:r>
        <w:rPr>
          <w:rFonts w:eastAsia="MS Mincho" w:cs="Times New Roman"/>
          <w:szCs w:val="20"/>
        </w:rPr>
        <w:noBreakHyphen/>
        <w:t>11</w:t>
      </w:r>
      <w:r>
        <w:rPr>
          <w:rFonts w:eastAsia="MS Mincho" w:cs="Times New Roman"/>
          <w:szCs w:val="20"/>
        </w:rPr>
        <w:noBreakHyphen/>
        <w:t>110(A)); arson in the second degree (Section 16</w:t>
      </w:r>
      <w:r>
        <w:rPr>
          <w:rFonts w:eastAsia="MS Mincho" w:cs="Times New Roman"/>
          <w:szCs w:val="20"/>
        </w:rPr>
        <w:noBreakHyphen/>
        <w:t>11</w:t>
      </w:r>
      <w:r>
        <w:rPr>
          <w:rFonts w:eastAsia="MS Mincho" w:cs="Times New Roman"/>
          <w:szCs w:val="20"/>
        </w:rPr>
        <w:noBreakHyphen/>
        <w:t>110(B)); burglary in the first degree (Section 16</w:t>
      </w:r>
      <w:r>
        <w:rPr>
          <w:rFonts w:eastAsia="MS Mincho" w:cs="Times New Roman"/>
          <w:szCs w:val="20"/>
        </w:rPr>
        <w:noBreakHyphen/>
        <w:t>11</w:t>
      </w:r>
      <w:r>
        <w:rPr>
          <w:rFonts w:eastAsia="MS Mincho" w:cs="Times New Roman"/>
          <w:szCs w:val="20"/>
        </w:rPr>
        <w:noBreakHyphen/>
        <w:t>311); burglary in the second degree (Section 16</w:t>
      </w:r>
      <w:r>
        <w:rPr>
          <w:rFonts w:eastAsia="MS Mincho" w:cs="Times New Roman"/>
          <w:szCs w:val="20"/>
        </w:rPr>
        <w:noBreakHyphen/>
        <w:t>11</w:t>
      </w:r>
      <w:r>
        <w:rPr>
          <w:rFonts w:eastAsia="MS Mincho" w:cs="Times New Roman"/>
          <w:szCs w:val="20"/>
        </w:rPr>
        <w:noBreakHyphen/>
        <w:t xml:space="preserve">312(B)); </w:t>
      </w:r>
      <w:r>
        <w:rPr>
          <w:rFonts w:eastAsia="MS Mincho" w:cs="Times New Roman"/>
          <w:szCs w:val="20"/>
          <w:u w:val="single"/>
        </w:rPr>
        <w:t>home invasion in the first and second degree (Section 16</w:t>
      </w:r>
      <w:r>
        <w:rPr>
          <w:rFonts w:eastAsia="MS Mincho" w:cs="Times New Roman"/>
          <w:szCs w:val="20"/>
          <w:u w:val="single"/>
        </w:rPr>
        <w:noBreakHyphen/>
        <w:t>11</w:t>
      </w:r>
      <w:r>
        <w:rPr>
          <w:rFonts w:eastAsia="MS Mincho" w:cs="Times New Roman"/>
          <w:szCs w:val="20"/>
          <w:u w:val="single"/>
        </w:rPr>
        <w:noBreakHyphen/>
        <w:t>395);</w:t>
      </w:r>
      <w:r>
        <w:rPr>
          <w:rFonts w:eastAsia="MS Mincho" w:cs="Times New Roman"/>
          <w:szCs w:val="20"/>
        </w:rPr>
        <w:t xml:space="preserve"> engaging a child for a sexual performance (Section 16</w:t>
      </w:r>
      <w:r>
        <w:rPr>
          <w:rFonts w:eastAsia="MS Mincho" w:cs="Times New Roman"/>
          <w:szCs w:val="20"/>
        </w:rPr>
        <w:noBreakHyphen/>
        <w:t>3</w:t>
      </w:r>
      <w:r>
        <w:rPr>
          <w:rFonts w:eastAsia="MS Mincho" w:cs="Times New Roman"/>
          <w:szCs w:val="20"/>
        </w:rPr>
        <w:noBreakHyphen/>
        <w:t>810); homicide by child abuse (Section 16</w:t>
      </w:r>
      <w:r>
        <w:rPr>
          <w:rFonts w:eastAsia="MS Mincho" w:cs="Times New Roman"/>
          <w:szCs w:val="20"/>
        </w:rPr>
        <w:noBreakHyphen/>
        <w:t>3</w:t>
      </w:r>
      <w:r>
        <w:rPr>
          <w:rFonts w:eastAsia="MS Mincho" w:cs="Times New Roman"/>
          <w:szCs w:val="20"/>
        </w:rPr>
        <w:noBreakHyphen/>
        <w:t>85(A)(1)); aiding and abetting homicide by child abuse (Section 16</w:t>
      </w:r>
      <w:r>
        <w:rPr>
          <w:rFonts w:eastAsia="MS Mincho" w:cs="Times New Roman"/>
          <w:szCs w:val="20"/>
        </w:rPr>
        <w:noBreakHyphen/>
        <w:t>3</w:t>
      </w:r>
      <w:r>
        <w:rPr>
          <w:rFonts w:eastAsia="MS Mincho" w:cs="Times New Roman"/>
          <w:szCs w:val="20"/>
        </w:rPr>
        <w:noBreakHyphen/>
        <w:t>85(A)(2)); inflicting great bodily injury upon a child (Section 16</w:t>
      </w:r>
      <w:r>
        <w:rPr>
          <w:rFonts w:eastAsia="MS Mincho" w:cs="Times New Roman"/>
          <w:szCs w:val="20"/>
        </w:rPr>
        <w:noBreakHyphen/>
        <w:t>3</w:t>
      </w:r>
      <w:r>
        <w:rPr>
          <w:rFonts w:eastAsia="MS Mincho" w:cs="Times New Roman"/>
          <w:szCs w:val="20"/>
        </w:rPr>
        <w:noBreakHyphen/>
        <w:t>95(A)); allowing great bodily injury to be inflicted upon a child (Section 16</w:t>
      </w:r>
      <w:r>
        <w:rPr>
          <w:rFonts w:eastAsia="MS Mincho" w:cs="Times New Roman"/>
          <w:szCs w:val="20"/>
        </w:rPr>
        <w:noBreakHyphen/>
        <w:t>3</w:t>
      </w:r>
      <w:r>
        <w:rPr>
          <w:rFonts w:eastAsia="MS Mincho" w:cs="Times New Roman"/>
          <w:szCs w:val="20"/>
        </w:rPr>
        <w:noBreakHyphen/>
        <w:t>95(B)); criminal domestic violence of a high and aggravated nature (Section 16</w:t>
      </w:r>
      <w:r>
        <w:rPr>
          <w:rFonts w:eastAsia="MS Mincho" w:cs="Times New Roman"/>
          <w:szCs w:val="20"/>
        </w:rPr>
        <w:noBreakHyphen/>
        <w:t>25</w:t>
      </w:r>
      <w:r>
        <w:rPr>
          <w:rFonts w:eastAsia="MS Mincho" w:cs="Times New Roman"/>
          <w:szCs w:val="20"/>
        </w:rPr>
        <w:noBreakHyphen/>
        <w:t>65); abuse or neglect of a vulnerable adult resulting in death (Section 43</w:t>
      </w:r>
      <w:r>
        <w:rPr>
          <w:rFonts w:eastAsia="MS Mincho" w:cs="Times New Roman"/>
          <w:szCs w:val="20"/>
        </w:rPr>
        <w:noBreakHyphen/>
        <w:t>35</w:t>
      </w:r>
      <w:r>
        <w:rPr>
          <w:rFonts w:eastAsia="MS Mincho" w:cs="Times New Roman"/>
          <w:szCs w:val="20"/>
        </w:rPr>
        <w:noBreakHyphen/>
        <w:t>85(F)); abuse or neglect of a vulnerable adult resulting in great bodily injury (Section 43</w:t>
      </w:r>
      <w:r>
        <w:rPr>
          <w:rFonts w:eastAsia="MS Mincho" w:cs="Times New Roman"/>
          <w:szCs w:val="20"/>
        </w:rPr>
        <w:noBreakHyphen/>
        <w:t>35</w:t>
      </w:r>
      <w:r>
        <w:rPr>
          <w:rFonts w:eastAsia="MS Mincho" w:cs="Times New Roman"/>
          <w:szCs w:val="20"/>
        </w:rPr>
        <w:noBreakHyphen/>
        <w:t>85(E)); accessory before the fact to commit any of the above offenses (Section 16</w:t>
      </w:r>
      <w:r>
        <w:rPr>
          <w:rFonts w:eastAsia="MS Mincho" w:cs="Times New Roman"/>
          <w:szCs w:val="20"/>
        </w:rPr>
        <w:noBreakHyphen/>
        <w:t>1</w:t>
      </w:r>
      <w:r>
        <w:rPr>
          <w:rFonts w:eastAsia="MS Mincho" w:cs="Times New Roman"/>
          <w:szCs w:val="20"/>
        </w:rPr>
        <w:noBreakHyphen/>
        <w:t>40); attempt to commit any of the above offenses (Section 16</w:t>
      </w:r>
      <w:r>
        <w:rPr>
          <w:rFonts w:eastAsia="MS Mincho" w:cs="Times New Roman"/>
          <w:szCs w:val="20"/>
        </w:rPr>
        <w:noBreakHyphen/>
        <w:t>1</w:t>
      </w:r>
      <w:r>
        <w:rPr>
          <w:rFonts w:eastAsia="MS Mincho" w:cs="Times New Roman"/>
          <w:szCs w:val="20"/>
        </w:rPr>
        <w:noBreakHyphen/>
        <w:t>80); and taking of a hostage by an inmate (Section 24</w:t>
      </w:r>
      <w:r>
        <w:rPr>
          <w:rFonts w:eastAsia="MS Mincho" w:cs="Times New Roman"/>
          <w:szCs w:val="20"/>
        </w:rPr>
        <w:noBreakHyphen/>
        <w:t>13</w:t>
      </w:r>
      <w:r>
        <w:rPr>
          <w:rFonts w:eastAsia="MS Mincho" w:cs="Times New Roman"/>
          <w:szCs w:val="20"/>
        </w:rPr>
        <w:noBreakHyphen/>
        <w:t>450).  Only those offenses specifically enumerated in this section are considered violent offenses.”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16</w:t>
      </w:r>
      <w:r>
        <w:rPr>
          <w:rFonts w:eastAsia="Times New Roman" w:cs="Times New Roman"/>
          <w:szCs w:val="20"/>
        </w:rPr>
        <w:noBreakHyphen/>
        <w:t>3</w:t>
      </w:r>
      <w:r>
        <w:rPr>
          <w:rFonts w:eastAsia="Times New Roman" w:cs="Times New Roman"/>
          <w:szCs w:val="20"/>
        </w:rPr>
        <w:noBreakHyphen/>
        <w:t>20(C)(a)(1)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The murder was committed while in the commission of the following crimes or acts: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criminal sexual conduct in any degree;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kidnapping;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 xml:space="preserve">burglary in any degree;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(d)</w:t>
      </w:r>
      <w:r>
        <w:rPr>
          <w:rFonts w:eastAsia="Times New Roman" w:cs="Times New Roman"/>
          <w:szCs w:val="20"/>
        </w:rPr>
        <w:tab/>
        <w:t xml:space="preserve">robbery while armed with a deadly weapon;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(e)</w:t>
      </w:r>
      <w:r>
        <w:rPr>
          <w:rFonts w:eastAsia="Times New Roman" w:cs="Times New Roman"/>
          <w:szCs w:val="20"/>
        </w:rPr>
        <w:tab/>
        <w:t xml:space="preserve">larceny with use of a deadly weapon;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(f)</w:t>
      </w:r>
      <w:r>
        <w:rPr>
          <w:rFonts w:eastAsia="Times New Roman" w:cs="Times New Roman"/>
          <w:szCs w:val="20"/>
        </w:rPr>
        <w:tab/>
        <w:t xml:space="preserve">killing by poison;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(g)</w:t>
      </w:r>
      <w:r>
        <w:rPr>
          <w:rFonts w:eastAsia="Times New Roman" w:cs="Times New Roman"/>
          <w:szCs w:val="20"/>
        </w:rPr>
        <w:tab/>
        <w:t>drug trafficking as defined in Section 44</w:t>
      </w:r>
      <w:r>
        <w:rPr>
          <w:rFonts w:eastAsia="Times New Roman" w:cs="Times New Roman"/>
          <w:szCs w:val="20"/>
        </w:rPr>
        <w:noBreakHyphen/>
        <w:t>53</w:t>
      </w:r>
      <w:r>
        <w:rPr>
          <w:rFonts w:eastAsia="Times New Roman" w:cs="Times New Roman"/>
          <w:szCs w:val="20"/>
        </w:rPr>
        <w:noBreakHyphen/>
        <w:t>370(e), 44</w:t>
      </w:r>
      <w:r>
        <w:rPr>
          <w:rFonts w:eastAsia="Times New Roman" w:cs="Times New Roman"/>
          <w:szCs w:val="20"/>
        </w:rPr>
        <w:noBreakHyphen/>
        <w:t>53</w:t>
      </w:r>
      <w:r>
        <w:rPr>
          <w:rFonts w:eastAsia="Times New Roman" w:cs="Times New Roman"/>
          <w:szCs w:val="20"/>
        </w:rPr>
        <w:noBreakHyphen/>
        <w:t>375(B), 44</w:t>
      </w:r>
      <w:r>
        <w:rPr>
          <w:rFonts w:eastAsia="Times New Roman" w:cs="Times New Roman"/>
          <w:szCs w:val="20"/>
        </w:rPr>
        <w:noBreakHyphen/>
        <w:t>53</w:t>
      </w:r>
      <w:r>
        <w:rPr>
          <w:rFonts w:eastAsia="Times New Roman" w:cs="Times New Roman"/>
          <w:szCs w:val="20"/>
        </w:rPr>
        <w:noBreakHyphen/>
        <w:t>440, or 44</w:t>
      </w:r>
      <w:r>
        <w:rPr>
          <w:rFonts w:eastAsia="Times New Roman" w:cs="Times New Roman"/>
          <w:szCs w:val="20"/>
        </w:rPr>
        <w:noBreakHyphen/>
        <w:t>53</w:t>
      </w:r>
      <w:r>
        <w:rPr>
          <w:rFonts w:eastAsia="Times New Roman" w:cs="Times New Roman"/>
          <w:szCs w:val="20"/>
        </w:rPr>
        <w:noBreakHyphen/>
        <w:t xml:space="preserve">445;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(h)</w:t>
      </w:r>
      <w:r>
        <w:rPr>
          <w:rFonts w:eastAsia="Times New Roman" w:cs="Times New Roman"/>
          <w:szCs w:val="20"/>
        </w:rPr>
        <w:tab/>
        <w:t xml:space="preserve">physical torture; </w:t>
      </w:r>
      <w:r>
        <w:rPr>
          <w:rFonts w:eastAsia="Times New Roman" w:cs="Times New Roman"/>
          <w:strike/>
          <w:szCs w:val="20"/>
        </w:rPr>
        <w:t>or</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t>(i)</w:t>
      </w:r>
      <w:r>
        <w:rPr>
          <w:rFonts w:eastAsia="Times New Roman" w:cs="Times New Roman"/>
          <w:szCs w:val="20"/>
        </w:rPr>
        <w:tab/>
      </w:r>
      <w:r>
        <w:rPr>
          <w:rFonts w:eastAsia="Times New Roman" w:cs="Times New Roman"/>
          <w:szCs w:val="20"/>
        </w:rPr>
        <w:tab/>
        <w:t>dismemberment of a person</w:t>
      </w:r>
      <w:r>
        <w:rPr>
          <w:rFonts w:eastAsia="Times New Roman" w:cs="Times New Roman"/>
          <w:szCs w:val="20"/>
          <w:u w:val="single"/>
        </w:rPr>
        <w: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 xml:space="preserve">(j) </w:t>
      </w:r>
      <w:r>
        <w:rPr>
          <w:rFonts w:eastAsia="Times New Roman" w:cs="Times New Roman"/>
          <w:szCs w:val="20"/>
        </w:rPr>
        <w:tab/>
      </w:r>
      <w:r>
        <w:rPr>
          <w:rFonts w:eastAsia="Times New Roman" w:cs="Times New Roman"/>
          <w:szCs w:val="20"/>
          <w:u w:val="single"/>
        </w:rPr>
        <w:t>home invasion in the first degree as defined in Section 16</w:t>
      </w:r>
      <w:r>
        <w:rPr>
          <w:rFonts w:eastAsia="Times New Roman" w:cs="Times New Roman"/>
          <w:szCs w:val="20"/>
          <w:u w:val="single"/>
        </w:rPr>
        <w:noBreakHyphen/>
        <w:t>11</w:t>
      </w:r>
      <w:r>
        <w:rPr>
          <w:rFonts w:eastAsia="Times New Roman" w:cs="Times New Roman"/>
          <w:szCs w:val="20"/>
          <w:u w:val="single"/>
        </w:rPr>
        <w:noBreakHyphen/>
        <w:t>400(B)</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7.</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13CA5E-06BD-471C-94BC-5A4DC3F5907A}"/>
    <w:embedBold r:id="rId2" w:fontKey="{E254728E-37B2-4881-B3D8-BDB49BF63120}"/>
  </w:font>
  <w:font w:name="Calibri">
    <w:panose1 w:val="020F0502020204030204"/>
    <w:charset w:val="00"/>
    <w:family w:val="swiss"/>
    <w:pitch w:val="variable"/>
    <w:sig w:usb0="A00002EF" w:usb1="4000207B" w:usb2="00000000" w:usb3="00000000" w:csb0="0000009F" w:csb1="00000000"/>
    <w:embedRegular r:id="rId3" w:fontKey="{5706CB1A-085F-4FF8-876C-1C0C7EFD1A2D}"/>
  </w:font>
  <w:font w:name="Tahoma">
    <w:panose1 w:val="020B0604030504040204"/>
    <w:charset w:val="00"/>
    <w:family w:val="swiss"/>
    <w:pitch w:val="variable"/>
    <w:sig w:usb0="61002A87" w:usb1="80000000" w:usb2="00000008" w:usb3="00000000" w:csb0="000101FF" w:csb1="00000000"/>
    <w:embedRegular r:id="rId4" w:fontKey="{AFAAB7BB-CC6D-4FD5-82AC-0FE95E7E6D32}"/>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A91429C8-2651-443B-8367-0D9C6AAA07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[153]</w:t>
    </w:r>
    <w:r>
      <w:tab/>
    </w:r>
    <w:fldSimple w:instr=" PAGE  \* MERGEFORMAT ">
      <w:r>
        <w:rPr>
          <w:noProof/>
        </w:rPr>
        <w:t>5</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1212</Words>
  <Characters>6909</Characters>
  <Application>Microsoft Office Word</Application>
  <DocSecurity>0</DocSecurity>
  <Lines>57</Lines>
  <Paragraphs>16</Paragraphs>
  <ScaleCrop>false</ScaleCrop>
  <Company>Project Management</Company>
  <LinksUpToDate>false</LinksUpToDate>
  <CharactersWithSpaces>8105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2008-12-10T20:51:00Z</dcterms:created>
  <dcterms:modified xsi:type="dcterms:W3CDTF">2008-12-10T20:51:00Z</dcterms:modified>
</cp:coreProperties>
</file>