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CHAPTER 39 OF TITLE 34 OF THE 1976 CODE, RELATING TO DEFERRED PRESENTMENT SERVICES, BY ADDING SECTION 34</w:t>
      </w:r>
      <w:r>
        <w:rPr>
          <w:rFonts w:eastAsia="Times New Roman" w:cs="Times New Roman"/>
        </w:rPr>
        <w:noBreakHyphen/>
        <w:t>39</w:t>
      </w:r>
      <w:r>
        <w:rPr>
          <w:rFonts w:eastAsia="Times New Roman" w:cs="Times New Roman"/>
        </w:rPr>
        <w:noBreakHyphen/>
        <w:t>175 TO PROVIDE THAT THE CONSUMER FINANCE DIVISION OF THE BOARD OF FINANCIAL INSTITUTIONS MUST IMPLEMENT A DEFERRED PRESENTMENT LOAN TRACKING DATABASE AND TO PROVIDE FOR INFORMATION REQUIRED IN THE DATABASE; TO ADD SECTION 34</w:t>
      </w:r>
      <w:r>
        <w:rPr>
          <w:rFonts w:eastAsia="Times New Roman" w:cs="Times New Roman"/>
        </w:rPr>
        <w:noBreakHyphen/>
        <w:t>39</w:t>
      </w:r>
      <w:r>
        <w:rPr>
          <w:rFonts w:eastAsia="Times New Roman" w:cs="Times New Roman"/>
        </w:rPr>
        <w:noBreakHyphen/>
        <w:t>270 TO LIMIT CONSUMERS TO ONE DEFERRED PRESENTMENT LOAN AT A TIME, TO PROVIDE FOR A SEVEN DAY WAITING PERIOD BETWEEN LOANS, TO REQUIRE DEFERRED PRESENTMENT PROVIDERS TO VERIFY A CONSUMERS ELIGIBILITY FOR A LOAN PRIOR TO ENTERING A DEFERRED PRESENTMENT TRANSACTION, TO PROVIDE FOR THE PROCESS TO DETERMINE ELIGIBILITY; TO ADD SECTION 34</w:t>
      </w:r>
      <w:r>
        <w:rPr>
          <w:rFonts w:eastAsia="Times New Roman" w:cs="Times New Roman"/>
        </w:rPr>
        <w:noBreakHyphen/>
        <w:t>39</w:t>
      </w:r>
      <w:r>
        <w:rPr>
          <w:rFonts w:eastAsia="Times New Roman" w:cs="Times New Roman"/>
        </w:rPr>
        <w:noBreakHyphen/>
        <w:t>280 TO PROVIDE THAT UNDER CERTAIN CIRCUMSTANCES A CONSUMER MAY UTILIZE A PAYMENT PLAN TO SATISFY AN OUTSTANDING LOAN, TO PROVIDE FOR THE CIRCUMSTANCES UNDER WHICH A PAYMENT PLAN MAY BE USED, AND THE REQUIREMENTS FOR A PAYMENT PLAN; TO ADD SECTION 34</w:t>
      </w:r>
      <w:r>
        <w:rPr>
          <w:rFonts w:eastAsia="Times New Roman" w:cs="Times New Roman"/>
        </w:rPr>
        <w:noBreakHyphen/>
        <w:t>39</w:t>
      </w:r>
      <w:r>
        <w:rPr>
          <w:rFonts w:eastAsia="Times New Roman" w:cs="Times New Roman"/>
        </w:rPr>
        <w:noBreakHyphen/>
        <w:t>290 TO PROVIDE THAT THE BOARD MUST MAKE ANNUAL REPORTS AND TO PROVIDE FOR THE CONTENTS OF THOSE REPORTS; TO AMEND SECTION 34</w:t>
      </w:r>
      <w:r>
        <w:rPr>
          <w:rFonts w:eastAsia="Times New Roman" w:cs="Times New Roman"/>
        </w:rPr>
        <w:noBreakHyphen/>
        <w:t>39</w:t>
      </w:r>
      <w:r>
        <w:rPr>
          <w:rFonts w:eastAsia="Times New Roman" w:cs="Times New Roman"/>
        </w:rPr>
        <w:noBreakHyphen/>
        <w:t>130 TO PROVIDE FOR THE APPLICABILITY OF CHAPTER 39 OF TITLE 34; TO AMEND SECTION 34</w:t>
      </w:r>
      <w:r>
        <w:rPr>
          <w:rFonts w:eastAsia="Times New Roman" w:cs="Times New Roman"/>
        </w:rPr>
        <w:noBreakHyphen/>
        <w:t>39</w:t>
      </w:r>
      <w:r>
        <w:rPr>
          <w:rFonts w:eastAsia="Times New Roman" w:cs="Times New Roman"/>
        </w:rPr>
        <w:noBreakHyphen/>
        <w:t>150 TO PROVIDE THAT THE APPLICATION FEE FOR NEW LICENSES AND LICENSE RENEWAL FEES ARE INCREASED FROM TWO HUNDRED FIFTY DOLLARS TO FIVE HUNDRED DOLLARS; TO AMEND SECTION 34</w:t>
      </w:r>
      <w:r>
        <w:rPr>
          <w:rFonts w:eastAsia="Times New Roman" w:cs="Times New Roman"/>
        </w:rPr>
        <w:noBreakHyphen/>
        <w:t>39</w:t>
      </w:r>
      <w:r>
        <w:rPr>
          <w:rFonts w:eastAsia="Times New Roman" w:cs="Times New Roman"/>
        </w:rPr>
        <w:noBreakHyphen/>
        <w:t>180 TO PROVIDE FOR A MAXIMUM LOAN AMOUNT BASED UPON THE CONSUMER’S GROSS INCOME OR FIVE HUNDRED DOLLARS, TO PROVIDE FOR CONSUMER WARNING STATEMENTS, TO PROVIDE THAT DEFERRED PRESENTMENT PROVIDERS MAY NOT ENTER INTO A LOAN WITH A CONSUMER SATISFYING ANOTHER LOAN PURSUANT TO AN EXTENDED PAYMENT PLAN, AND TO PROVIDE THAT THE BOARD MUST DEVELOP A FORM TO BE USED BY DEFERRED PRESENTMENT PROVIDERS TO CALCULATE THE MAXIMUM AMOUNT THAT MAY BE LENT TO A CONSUMER; TO AMEND SECTION 34</w:t>
      </w:r>
      <w:r>
        <w:rPr>
          <w:rFonts w:eastAsia="Times New Roman" w:cs="Times New Roman"/>
        </w:rPr>
        <w:noBreakHyphen/>
        <w:t>39</w:t>
      </w:r>
      <w:r>
        <w:rPr>
          <w:rFonts w:eastAsia="Times New Roman" w:cs="Times New Roman"/>
        </w:rPr>
        <w:noBreakHyphen/>
        <w:t>200 TO PROVIDE ADDITIONAL LIMITATIONS ON THE ACTIVITIES OF LICENSED DEFERRED PRESENTMENT PROVIDERS; TO AMEND CHAPTER 39 OF TITLE 34 BY ADDING SECTION 39</w:t>
      </w:r>
      <w:r>
        <w:rPr>
          <w:rFonts w:eastAsia="Times New Roman" w:cs="Times New Roman"/>
        </w:rPr>
        <w:noBreakHyphen/>
        <w:t>34</w:t>
      </w:r>
      <w:r>
        <w:rPr>
          <w:rFonts w:eastAsia="Times New Roman" w:cs="Times New Roman"/>
        </w:rPr>
        <w:noBreakHyphen/>
        <w:t>205 TO PLACE ON</w:t>
      </w:r>
      <w:r>
        <w:rPr>
          <w:rFonts w:eastAsia="Times New Roman" w:cs="Times New Roman"/>
        </w:rPr>
        <w:noBreakHyphen/>
        <w:t>PREMISES ADVERTISING LIMITATIONS; AND TO AMEND SECTION 34</w:t>
      </w:r>
      <w:r>
        <w:rPr>
          <w:rFonts w:eastAsia="Times New Roman" w:cs="Times New Roman"/>
        </w:rPr>
        <w:noBreakHyphen/>
        <w:t>39</w:t>
      </w:r>
      <w:r>
        <w:rPr>
          <w:rFonts w:eastAsia="Times New Roman" w:cs="Times New Roman"/>
        </w:rPr>
        <w:noBreakHyphen/>
        <w:t>170 TO PROVIDE THAT CONSUMERS AND DEFERRED PRESENTMENT PROVIDERS MAY NOT ENTER INTO AGREEMENTS THAT ALLOW FOR AUTOMATIC DEBITED LOAN PAYMENTS.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39 of Title 34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ab/>
        <w:t>“</w:t>
      </w:r>
      <w:r>
        <w:rPr>
          <w:rFonts w:eastAsia="MS Mincho" w:cs="Times New Roman"/>
          <w:szCs w:val="20"/>
        </w:rPr>
        <w:t>Section 34</w:t>
      </w:r>
      <w:r>
        <w:rPr>
          <w:rFonts w:eastAsia="MS Mincho" w:cs="Times New Roman"/>
          <w:szCs w:val="20"/>
        </w:rPr>
        <w:noBreakHyphen/>
        <w:t>39</w:t>
      </w:r>
      <w:r>
        <w:rPr>
          <w:rFonts w:eastAsia="MS Mincho" w:cs="Times New Roman"/>
          <w:szCs w:val="20"/>
        </w:rPr>
        <w:noBreakHyphen/>
        <w:t>175.</w:t>
      </w:r>
      <w:r>
        <w:rPr>
          <w:rFonts w:eastAsia="MS Mincho" w:cs="Times New Roman"/>
          <w:szCs w:val="20"/>
        </w:rPr>
        <w:tab/>
        <w:t>(A)</w:t>
      </w:r>
      <w:r>
        <w:rPr>
          <w:rFonts w:eastAsia="MS Mincho" w:cs="Times New Roman"/>
          <w:szCs w:val="20"/>
        </w:rPr>
        <w:tab/>
        <w:t>The Consumer Finance Division of the Board of Financial Institutions shall implement a common database with real</w:t>
      </w:r>
      <w:r>
        <w:rPr>
          <w:rFonts w:eastAsia="MS Mincho" w:cs="Times New Roman"/>
          <w:szCs w:val="20"/>
        </w:rPr>
        <w:noBreakHyphen/>
        <w:t>time access through an internet connection for deferred presentment providers, as provided in this subsection.  The board is authorized to enter into a contract with a single source private vendor to develop and operate the database.  The database must be accessible to the board and the deferred presentment providers to verify if deferred presentment transactions are outstanding for a particular person.  Deferred presentment providers shall submit that data before entering into a deferred presentment transaction and once a deferred presentment transaction has been paid in full, in a format the board requires by rule including the drawer’s name, social security number or employment authorization alien number, address, driver’s license number, amount of the transaction, date of transaction, the date that the transaction is closed, and additional information required by the board.  The board may impose a fee not to exceed one dollar for each transaction for data required to be submitted by a licensee.  A licensee may rely on the information contained in the database as accurate and is not subject to any administrative penalty or civil liability as a result of relying on inaccurate information contained in the database.  The board may adopt rules to administer and enforce the provisions of this section and to ensure that the database is used by licensees in accordance with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The information provided in the database is limited for the use in determining if a customer is eligible or ineligible to enter into a new deferred presentment transaction and to describe the reason for the determination of eligibility or ineligibility.”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r>
      <w:r>
        <w:rPr>
          <w:rFonts w:eastAsia="MS Mincho" w:cs="Times New Roman"/>
          <w:szCs w:val="20"/>
        </w:rPr>
        <w:t>Chapter 39, Title 34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270.</w:t>
      </w:r>
      <w:r>
        <w:rPr>
          <w:rFonts w:eastAsia="MS Mincho" w:cs="Times New Roman"/>
          <w:szCs w:val="20"/>
        </w:rPr>
        <w:tab/>
        <w:t>(A)</w:t>
      </w:r>
      <w:r>
        <w:rPr>
          <w:rFonts w:eastAsia="MS Mincho" w:cs="Times New Roman"/>
          <w:szCs w:val="20"/>
        </w:rPr>
        <w:tab/>
        <w:t>A licensee may not enter into a deferred presentment transaction with a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 xml:space="preserve">who has an outstanding deferred presentment transaction with any licensee;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who has entered into an extended payment plan agreement as provided in Section 34</w:t>
      </w:r>
      <w:r>
        <w:rPr>
          <w:rFonts w:eastAsia="MS Mincho" w:cs="Times New Roman"/>
          <w:szCs w:val="20"/>
        </w:rPr>
        <w:noBreakHyphen/>
        <w:t>39</w:t>
      </w:r>
      <w:r>
        <w:rPr>
          <w:rFonts w:eastAsia="MS Mincho" w:cs="Times New Roman"/>
          <w:szCs w:val="20"/>
        </w:rPr>
        <w:noBreakHyphen/>
        <w:t>280 which has not been paid in full or terminated;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sooner than the seventh day after the date upon which the person last closed out a deferred presentment transaction with any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Before entering into a deferred presentment transaction with a person, a licensee shall verify whether the person is eligible to enter into the transaction by inquiring of the person, checking the licensee’s records, and accessing the deferred presentment transaction database established pursuant to subsection (C).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board shall contract with a single third party database provider to establish and operate a deferred presentment transaction database for the purpose of verifying whether a person is eligible to enter into a deferred presentment transaction.  The board shall supervise the establishment and operation of the database and shall ensure that the database provider establishes and operates the database pursuant to the provisions of this section.  The board shall have full access to the database and all records related to the database for purposes of supervising the establishment and operation of the database.  If the database provider violates a provision of this section, the board shall terminate the contract.  The database must have real</w:t>
      </w:r>
      <w:r>
        <w:rPr>
          <w:rFonts w:eastAsia="MS Mincho" w:cs="Times New Roman"/>
          <w:szCs w:val="20"/>
        </w:rPr>
        <w:noBreakHyphen/>
        <w:t xml:space="preserve">time access through an internet connection and be accessible at all times to the board and licensees.  The database provider shall establish and maintain a process for responding to transaction verification requests when technical difficulties prevent the licensee from accessing the database through the internet including, but not limited to, verification by telephone.  The database must be set up so as to notify the board if a licensee or a person enters into a transaction in violation of the provisions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To conduct an inquiry as to whether a person is eligible to enter into a deferred presentment transaction, a licensee shall submit to the database provider such information as the board may require.  The response to an inquiry to the database provider by a licensee must state only that a person is eligible or ineligible to enter into a transaction and describe the reason for that determination.  The person seeking to enter into the transaction may make a direct inquiry to the database provider to request a more detailed explanation of the basis for the database provider’s determination that the person is ineligible to enter into the transaction.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w:t>
      </w:r>
      <w:r>
        <w:rPr>
          <w:rFonts w:eastAsia="MS Mincho" w:cs="Times New Roman"/>
          <w:szCs w:val="20"/>
        </w:rPr>
        <w:tab/>
        <w:t xml:space="preserve">A licensee shall notify the database provider immediately when the licensee enters into a deferred presentment transaction with a person.  The licensee shall submit to the database provider such information as the board requires.  When the transaction is closed, the licensee shall designate the transaction as closed and immediately notify the database provider.  When the database provider receives notification that the transaction is closed, the database provider immediately shall designate the transaction as closed in the database.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 xml:space="preserve">A licensee shall notify a person seeking to enter into a deferred presentment transaction that the licensee shall access the database to verify whether the person is eligible to enter into a transaction.  The licensee also shall notify the person that information related to a new transaction must be entered into the database.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(G)</w:t>
      </w:r>
      <w:r>
        <w:rPr>
          <w:rFonts w:eastAsia="MS Mincho" w:cs="Times New Roman"/>
          <w:szCs w:val="20"/>
        </w:rPr>
        <w:tab/>
        <w:t>The database provider may charge a database verification fee to a licensee for an inquiry as to whether a person is eligible to enter into a deferred presentment transaction, if that transaction is consummated by the licensee.  The fee must be established by the board and may not exceed the actual cost of verifying a person’s eligibility.  A licensee may charge a person seeking to enter into a deferred presentment transaction one</w:t>
      </w:r>
      <w:r>
        <w:rPr>
          <w:rFonts w:eastAsia="MS Mincho" w:cs="Times New Roman"/>
          <w:szCs w:val="20"/>
        </w:rPr>
        <w:noBreakHyphen/>
        <w:t xml:space="preserve">half of the actual cost of the verification fee.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(H)</w:t>
      </w:r>
      <w:r>
        <w:rPr>
          <w:rFonts w:eastAsia="MS Mincho" w:cs="Times New Roman"/>
          <w:szCs w:val="20"/>
        </w:rPr>
        <w:tab/>
        <w:t>Except as otherwise provided in this section, all personally identifiable information regarding a person contained within or obtained by way of the database is strictly confidential and is exempt from disclosure under the Freedom of Information Act.  The database provider and licensees shall use the information collected pursuant to this section only as prescribed in this section and for no other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(I)</w:t>
      </w:r>
      <w:r>
        <w:rPr>
          <w:rFonts w:eastAsia="MS Mincho" w:cs="Times New Roman"/>
          <w:szCs w:val="20"/>
        </w:rPr>
        <w:tab/>
        <w:t>A licensee may rely on the information contained in the database as accurate and is not subject to any administrative penalty or civil liability as a result of relying on inaccurate information contained in the database.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280.</w:t>
      </w:r>
      <w:r>
        <w:rPr>
          <w:rFonts w:eastAsia="MS Mincho" w:cs="Times New Roman"/>
          <w:szCs w:val="20"/>
        </w:rPr>
        <w:tab/>
      </w:r>
      <w:r>
        <w:rPr>
          <w:rFonts w:eastAsia="MS Mincho" w:cs="Times New Roman"/>
          <w:szCs w:val="20"/>
        </w:rPr>
        <w:tab/>
        <w:t>(A)</w:t>
      </w:r>
      <w:r>
        <w:rPr>
          <w:rFonts w:eastAsia="MS Mincho" w:cs="Times New Roman"/>
          <w:szCs w:val="20"/>
        </w:rPr>
        <w:tab/>
        <w:t xml:space="preserve">Subject to the terms and conditions contained in this section, a customer may pay any outstanding deferred presentment transaction by means of an extended payment plan.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A licensee must enter into a written plan agreement with the customer if the customer, on or before the deferred presentment transaction’s due date, requests a plan and signs an amendment to the written agreement that memorializes the plan’s terms and must enter the information into the database established in Section 34</w:t>
      </w:r>
      <w:r>
        <w:rPr>
          <w:rFonts w:eastAsia="MS Mincho" w:cs="Times New Roman"/>
          <w:szCs w:val="20"/>
        </w:rPr>
        <w:noBreakHyphen/>
        <w:t>29</w:t>
      </w:r>
      <w:r>
        <w:rPr>
          <w:rFonts w:eastAsia="MS Mincho" w:cs="Times New Roman"/>
          <w:szCs w:val="20"/>
        </w:rPr>
        <w:noBreakHyphen/>
        <w:t xml:space="preserve">175 that the customer has an extended payment plan.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plan’s terms must allow the customer, at no additional cost, to repay the deferred presentment transaction in substantially equal installments over not less than sixty days.  Each plan installment must coincide with a date on which the customer receives regular income.  The customer may prepay a plan in full at any time without penalty. If the customer fails to pay any plan installment when due, the plan is terminated and the licensee immediately may accelerate and collect the unpaid transaction balance.  The licensee may, with each payment under the plan by a customer, provide for the return of the customer’s prior held check and require a new check for the remaining balance under the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A licensee must notify the customer of his plan rights by displaying the following statement, in at least 12</w:t>
      </w:r>
      <w:r>
        <w:rPr>
          <w:rFonts w:eastAsia="MS Mincho" w:cs="Times New Roman"/>
          <w:szCs w:val="20"/>
        </w:rPr>
        <w:noBreakHyphen/>
        <w:t xml:space="preserve">point bold type, on the first page of the written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‘You should use a deferred presentment transaction only for a short</w:t>
      </w:r>
      <w:r>
        <w:rPr>
          <w:rFonts w:eastAsia="MS Mincho" w:cs="Times New Roman"/>
          <w:szCs w:val="20"/>
        </w:rPr>
        <w:noBreakHyphen/>
        <w:t>term credit need.  If you have a long</w:t>
      </w:r>
      <w:r>
        <w:rPr>
          <w:rFonts w:eastAsia="MS Mincho" w:cs="Times New Roman"/>
          <w:szCs w:val="20"/>
        </w:rPr>
        <w:noBreakHyphen/>
        <w:t>term credit need, you should consider a less costly way to borrow money or seek the advice of a nonprofit credit counselor.  You may repay this contract through an extended payment plan.  If you choose this right, then you must, on or before the date this contract is due, ask for an extended payment plan.  You will be asked to sign a new agreement for this extended payment plan. The extended payment plan must let you repay this contract in substantially equal installments over the next sixty days.  There will be no additional cost.  Each extended payment plan installment must match with a date on which you receive regular income.  You may prepay an extended payment plan in full at any time without penalty.  If you fail to pay an extended payment plan installment when due, the extended payment plan will end and we may collect immediately the unpaid contract balance.’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29</w:t>
      </w:r>
      <w:r>
        <w:rPr>
          <w:rFonts w:eastAsia="MS Mincho" w:cs="Times New Roman"/>
          <w:szCs w:val="20"/>
        </w:rPr>
        <w:noBreakHyphen/>
        <w:t>290.</w:t>
      </w:r>
      <w:r>
        <w:rPr>
          <w:rFonts w:eastAsia="MS Mincho" w:cs="Times New Roman"/>
          <w:szCs w:val="20"/>
        </w:rPr>
        <w:tab/>
      </w:r>
      <w:r>
        <w:rPr>
          <w:rFonts w:eastAsia="MS Mincho" w:cs="Times New Roman"/>
          <w:szCs w:val="20"/>
        </w:rPr>
        <w:tab/>
        <w:t>Based upon data provided by the database vendor, the Board of Financial Institutions annually shall report to the General Assembly the following information for loans made in South Carolina in the previous reporting year, specifically the number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w:t>
      </w:r>
      <w:r>
        <w:rPr>
          <w:rFonts w:eastAsia="MS Mincho" w:cs="Times New Roman"/>
          <w:szCs w:val="20"/>
        </w:rPr>
        <w:tab/>
        <w:t>loans made in South Carolina by loan amount and the dollar amount of fees collected by loan amount;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(2)</w:t>
      </w:r>
      <w:r>
        <w:rPr>
          <w:rFonts w:eastAsia="MS Mincho" w:cs="Times New Roman"/>
          <w:szCs w:val="20"/>
        </w:rPr>
        <w:tab/>
        <w:t>individual borrowers by loan amount and the number of borrowers by the number of times each borrower took out a loan;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(3)</w:t>
      </w:r>
      <w:r>
        <w:rPr>
          <w:rFonts w:eastAsia="MS Mincho" w:cs="Times New Roman"/>
          <w:szCs w:val="20"/>
        </w:rPr>
        <w:tab/>
        <w:t>borrowers who chose to pay off their loans through an Extended Payment Plan by loan amount;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(4)</w:t>
      </w:r>
      <w:r>
        <w:rPr>
          <w:rFonts w:eastAsia="MS Mincho" w:cs="Times New Roman"/>
          <w:szCs w:val="20"/>
        </w:rPr>
        <w:tab/>
        <w:t>loans that were not paid off in the previous year by loan amount;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(5)</w:t>
      </w:r>
      <w:r>
        <w:rPr>
          <w:rFonts w:eastAsia="MS Mincho" w:cs="Times New Roman"/>
          <w:szCs w:val="20"/>
        </w:rPr>
        <w:tab/>
        <w:t>loans on which the lender submitted the check for collection by loan amount and the number of loans on which the lender took action for collection.”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3.</w:t>
      </w: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 xml:space="preserve">130 of the 1976 Code is amended by adding at the end: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 xml:space="preserve">A person may not engage in the business of deferred presentment services with a customer residing in this State, whether or not that person has a location in South Carolina, except in accordance with the provisions of this chapter and without having first obtained a license pursuant to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(D)(1)</w:t>
      </w:r>
      <w:r>
        <w:rPr>
          <w:rFonts w:eastAsia="MS Mincho" w:cs="Times New Roman"/>
          <w:szCs w:val="20"/>
        </w:rPr>
        <w:tab/>
        <w:t xml:space="preserve">A licensee pursuant to this chapter may not offer, arrange, act as an agent for, or assist a deferred deposit originator in any way in the making of a deferred deposit transaction unless the deferred deposit originator complies with all applicable federal and state laws and regulations including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 xml:space="preserve">This prohibition does not apply to the arranger, agent, or assistant to a state or federally chartered bank, thrift, savings association, or credit union if, upon review of the entire circumstances, the state or federally chartered bank, thrift, savings association, or credit union: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(a)</w:t>
      </w:r>
      <w:r>
        <w:rPr>
          <w:rFonts w:eastAsia="MS Mincho" w:cs="Times New Roman"/>
          <w:szCs w:val="20"/>
        </w:rPr>
        <w:tab/>
        <w:t xml:space="preserve">initially advanced the loan proceeds to the customer;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(b)</w:t>
      </w:r>
      <w:r>
        <w:rPr>
          <w:rFonts w:eastAsia="MS Mincho" w:cs="Times New Roman"/>
          <w:szCs w:val="20"/>
        </w:rPr>
        <w:tab/>
        <w:t xml:space="preserve">maintained a preponderant economic interest in the loan after its initiation;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(c)</w:t>
      </w:r>
      <w:r>
        <w:rPr>
          <w:rFonts w:eastAsia="MS Mincho" w:cs="Times New Roman"/>
          <w:szCs w:val="20"/>
        </w:rPr>
        <w:tab/>
        <w:t xml:space="preserve">developed the deferred deposit transaction product or products on its own without involvement of the licensee.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If a licensee offers, arranges, acts as an agent for, or assists a state or federally chartered bank, thrift, savings association, or credit union in the making of a deferred deposit transaction and the licensee demonstrates that the standards in item (2)(a), (b), and (c) are met, the licensee must comply with all other provisions of this chapter to the extent that they are not preempted by other federal or state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4.</w:t>
      </w: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150(C) and (D)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 xml:space="preserve">The application must be accompanied by payment of an application fee of </w:t>
      </w:r>
      <w:r>
        <w:rPr>
          <w:rFonts w:eastAsia="MS Mincho" w:cs="Times New Roman"/>
          <w:strike/>
          <w:szCs w:val="20"/>
        </w:rPr>
        <w:t>two hundred fifty dollars</w:t>
      </w:r>
      <w:r>
        <w:rPr>
          <w:rFonts w:eastAsia="MS Mincho" w:cs="Times New Roman"/>
          <w:szCs w:val="20"/>
        </w:rPr>
        <w:t xml:space="preserve"> </w:t>
      </w:r>
      <w:r>
        <w:rPr>
          <w:rFonts w:eastAsia="MS Mincho" w:cs="Times New Roman"/>
          <w:szCs w:val="20"/>
          <w:u w:val="single"/>
        </w:rPr>
        <w:t xml:space="preserve">five hundred dollars </w:t>
      </w:r>
      <w:r>
        <w:rPr>
          <w:rFonts w:eastAsia="MS Mincho" w:cs="Times New Roman"/>
          <w:szCs w:val="20"/>
        </w:rPr>
        <w:t xml:space="preserve">and an investigation fee of five hundred dollars. These fees are not refundable or abatable. If the license is granted, however, payment of the application fee satisfies the fee requirement for the first license year or its remainder.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Times New Roman" w:cs="Times New Roman"/>
          <w:szCs w:val="20"/>
        </w:rPr>
        <w:t>(D)</w:t>
      </w:r>
      <w:r>
        <w:rPr>
          <w:rFonts w:eastAsia="Times New Roman" w:cs="Times New Roman"/>
          <w:szCs w:val="20"/>
        </w:rPr>
        <w:tab/>
      </w:r>
      <w:r>
        <w:rPr>
          <w:rFonts w:eastAsia="MS Mincho" w:cs="Times New Roman"/>
          <w:szCs w:val="20"/>
        </w:rPr>
        <w:t>A license expires annually and may be renewed upon payment of a license fee of</w:t>
      </w:r>
      <w:r>
        <w:rPr>
          <w:rFonts w:eastAsia="MS Mincho" w:cs="Times New Roman"/>
          <w:strike/>
          <w:szCs w:val="20"/>
        </w:rPr>
        <w:t xml:space="preserve"> two hundred fifty dollars</w:t>
      </w:r>
      <w:r>
        <w:rPr>
          <w:rFonts w:eastAsia="MS Mincho" w:cs="Times New Roman"/>
          <w:szCs w:val="20"/>
        </w:rPr>
        <w:t xml:space="preserve"> </w:t>
      </w:r>
      <w:r>
        <w:rPr>
          <w:rFonts w:eastAsia="MS Mincho" w:cs="Times New Roman"/>
          <w:szCs w:val="20"/>
          <w:u w:val="single"/>
        </w:rPr>
        <w:t>five hundred dollars</w:t>
      </w:r>
      <w:r>
        <w:rPr>
          <w:rFonts w:eastAsia="MS Mincho" w:cs="Times New Roman"/>
          <w:szCs w:val="20"/>
        </w:rPr>
        <w:t xml:space="preserve">.  The annual license renewal fee for an applicant with more than one location is </w:t>
      </w:r>
      <w:r>
        <w:rPr>
          <w:rFonts w:eastAsia="MS Mincho" w:cs="Times New Roman"/>
          <w:strike/>
          <w:szCs w:val="20"/>
        </w:rPr>
        <w:t>two hundred fifty</w:t>
      </w:r>
      <w:r>
        <w:rPr>
          <w:rFonts w:eastAsia="MS Mincho" w:cs="Times New Roman"/>
          <w:szCs w:val="20"/>
        </w:rPr>
        <w:t xml:space="preserve"> </w:t>
      </w:r>
      <w:r>
        <w:rPr>
          <w:rFonts w:eastAsia="MS Mincho" w:cs="Times New Roman"/>
          <w:szCs w:val="20"/>
          <w:u w:val="single"/>
        </w:rPr>
        <w:t xml:space="preserve">five hundred </w:t>
      </w:r>
      <w:r>
        <w:rPr>
          <w:rFonts w:eastAsia="MS Mincho" w:cs="Times New Roman"/>
          <w:szCs w:val="20"/>
        </w:rPr>
        <w:t xml:space="preserve">dollars for the first location and </w:t>
      </w:r>
      <w:r>
        <w:rPr>
          <w:rFonts w:eastAsia="MS Mincho" w:cs="Times New Roman"/>
          <w:strike/>
          <w:szCs w:val="20"/>
        </w:rPr>
        <w:t>fifty</w:t>
      </w:r>
      <w:r>
        <w:rPr>
          <w:rFonts w:eastAsia="MS Mincho" w:cs="Times New Roman"/>
          <w:szCs w:val="20"/>
        </w:rPr>
        <w:t xml:space="preserve"> </w:t>
      </w:r>
      <w:r>
        <w:rPr>
          <w:rFonts w:eastAsia="MS Mincho" w:cs="Times New Roman"/>
          <w:szCs w:val="20"/>
          <w:u w:val="single"/>
        </w:rPr>
        <w:t>one hundred</w:t>
      </w:r>
      <w:r>
        <w:rPr>
          <w:rFonts w:eastAsia="MS Mincho" w:cs="Times New Roman"/>
          <w:szCs w:val="20"/>
        </w:rPr>
        <w:t xml:space="preserve"> dollars for each additional location.  </w:t>
      </w:r>
      <w:r>
        <w:rPr>
          <w:rFonts w:eastAsia="MS Mincho" w:cs="Times New Roman"/>
          <w:szCs w:val="20"/>
          <w:u w:val="single"/>
        </w:rPr>
        <w:t>All license fees collected must be remitted to the general fund.</w:t>
      </w:r>
      <w:r>
        <w:rPr>
          <w:rFonts w:eastAsia="MS Mincho" w:cs="Times New Roman"/>
          <w:szCs w:val="20"/>
        </w:rPr>
        <w:t>”</w:t>
      </w:r>
      <w:r>
        <w:rPr>
          <w:rFonts w:eastAsia="MS Mincho" w:cs="Times New Roman"/>
          <w:szCs w:val="20"/>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5.</w:t>
      </w: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180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180.</w:t>
      </w:r>
      <w:r>
        <w:rPr>
          <w:rFonts w:eastAsia="MS Mincho" w:cs="Times New Roman"/>
          <w:szCs w:val="20"/>
        </w:rPr>
        <w:tab/>
        <w:t>(A)</w:t>
      </w:r>
      <w:r>
        <w:rPr>
          <w:rFonts w:eastAsia="MS Mincho" w:cs="Times New Roman"/>
          <w:szCs w:val="20"/>
        </w:rPr>
        <w:tab/>
      </w:r>
      <w:r>
        <w:rPr>
          <w:rFonts w:eastAsia="MS Mincho" w:cs="Times New Roman"/>
          <w:strike/>
          <w:szCs w:val="20"/>
        </w:rPr>
        <w:t>A licensee may</w:t>
      </w:r>
      <w:r>
        <w:rPr>
          <w:rFonts w:eastAsia="MS Mincho" w:cs="Times New Roman"/>
          <w:szCs w:val="20"/>
        </w:rPr>
        <w:t xml:space="preserve"> </w:t>
      </w:r>
      <w:r>
        <w:rPr>
          <w:rFonts w:eastAsia="MS Mincho" w:cs="Times New Roman"/>
          <w:strike/>
          <w:szCs w:val="20"/>
        </w:rPr>
        <w:t>defer the presentment or deposit of a check for up to thirty</w:t>
      </w:r>
      <w:r>
        <w:rPr>
          <w:rFonts w:eastAsia="MS Mincho" w:cs="Times New Roman"/>
          <w:strike/>
          <w:szCs w:val="20"/>
        </w:rPr>
        <w:noBreakHyphen/>
        <w:t>one days pursuant to the provisions of this section.</w:t>
      </w:r>
      <w:r>
        <w:rPr>
          <w:rFonts w:eastAsia="MS Mincho" w:cs="Times New Roman"/>
          <w:szCs w:val="20"/>
        </w:rPr>
        <w:t xml:space="preserve">  </w:t>
      </w:r>
      <w:r>
        <w:rPr>
          <w:rFonts w:eastAsia="MS Mincho" w:cs="Times New Roman"/>
          <w:szCs w:val="20"/>
          <w:u w:val="single"/>
        </w:rPr>
        <w:t>The total amount advanced by all licensees to any customer for deferred presentment or deposit may not exceed the lesser of twenty</w:t>
      </w:r>
      <w:r>
        <w:rPr>
          <w:rFonts w:eastAsia="MS Mincho" w:cs="Times New Roman"/>
          <w:szCs w:val="20"/>
          <w:u w:val="single"/>
        </w:rPr>
        <w:noBreakHyphen/>
        <w:t>five percent of the customer’s gross income during the term of the loan or five hundred dollars, exclusive of the fees allowed in Section 34</w:t>
      </w:r>
      <w:r>
        <w:rPr>
          <w:rFonts w:eastAsia="MS Mincho" w:cs="Times New Roman"/>
          <w:szCs w:val="20"/>
          <w:u w:val="single"/>
        </w:rPr>
        <w:noBreakHyphen/>
        <w:t>39</w:t>
      </w:r>
      <w:r>
        <w:rPr>
          <w:rFonts w:eastAsia="MS Mincho" w:cs="Times New Roman"/>
          <w:szCs w:val="20"/>
          <w:u w:val="single"/>
        </w:rPr>
        <w:noBreakHyphen/>
        <w:t>180(E).  A licensee may not advance to a customer an amount for deferred presentment or deposit which causes this limit to be exceeded by that customer.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Each check must be documented by a written agreement signed by both the customer and the licensee.  The written agreement must contain the name or trade name of the licensee, the transaction date, the amount of the check, and a statement of the total amount of fees charged, expressed both as a dollar amount and as an effective annual percentage rate (APR).  The written agreement must authorize expressly the licensee to defer presentment or deposit of the check until a specific date, not later than thirty</w:t>
      </w:r>
      <w:r>
        <w:rPr>
          <w:rFonts w:eastAsia="MS Mincho" w:cs="Times New Roman"/>
          <w:szCs w:val="20"/>
        </w:rPr>
        <w:noBreakHyphen/>
        <w:t xml:space="preserve">one days from the date the check is accepted by the licensee.  </w:t>
      </w:r>
      <w:r>
        <w:rPr>
          <w:rFonts w:eastAsia="MS Mincho" w:cs="Times New Roman"/>
          <w:szCs w:val="20"/>
          <w:u w:val="single"/>
        </w:rPr>
        <w:t xml:space="preserve">The written agreement also must contain plain language developed by the board which sufficiently informs the customer regarding the nature of deferred presentment services, the deferred presentment service process, the customer’s rights pursuant to this chapter, information to file complaints with the South Carolina Department of Consumer Affairs and other information the board may require.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board shall require each licensee to issue a standardized consumer notification and disclosure form in compliance with state and federal truth</w:t>
      </w:r>
      <w:r>
        <w:rPr>
          <w:rFonts w:eastAsia="MS Mincho" w:cs="Times New Roman"/>
          <w:szCs w:val="20"/>
        </w:rPr>
        <w:noBreakHyphen/>
        <w:t>in</w:t>
      </w:r>
      <w:r>
        <w:rPr>
          <w:rFonts w:eastAsia="MS Mincho" w:cs="Times New Roman"/>
          <w:szCs w:val="20"/>
        </w:rPr>
        <w:noBreakHyphen/>
        <w:t xml:space="preserve">lending laws before entering into a deferred presentment agreement </w:t>
      </w:r>
      <w:r>
        <w:rPr>
          <w:rFonts w:eastAsia="MS Mincho" w:cs="Times New Roman"/>
          <w:szCs w:val="20"/>
          <w:u w:val="single"/>
        </w:rPr>
        <w:t>with a customer</w:t>
      </w:r>
      <w:r>
        <w:rPr>
          <w:rFonts w:eastAsia="MS Mincho"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 xml:space="preserve">A licensee </w:t>
      </w:r>
      <w:r>
        <w:rPr>
          <w:rFonts w:eastAsia="MS Mincho" w:cs="Times New Roman"/>
          <w:strike/>
          <w:szCs w:val="20"/>
        </w:rPr>
        <w:t>shall</w:t>
      </w:r>
      <w:r>
        <w:rPr>
          <w:rFonts w:eastAsia="MS Mincho" w:cs="Times New Roman"/>
          <w:szCs w:val="20"/>
        </w:rPr>
        <w:t xml:space="preserve"> </w:t>
      </w:r>
      <w:r>
        <w:rPr>
          <w:rFonts w:eastAsia="MS Mincho" w:cs="Times New Roman"/>
          <w:szCs w:val="20"/>
          <w:u w:val="single"/>
        </w:rPr>
        <w:t>may</w:t>
      </w:r>
      <w:r>
        <w:rPr>
          <w:rFonts w:eastAsia="MS Mincho" w:cs="Times New Roman"/>
          <w:szCs w:val="20"/>
        </w:rPr>
        <w:t xml:space="preserve"> not charge, directly or indirectly, a fee or other consideration in excess of fifteen percent of the </w:t>
      </w:r>
      <w:r>
        <w:rPr>
          <w:rFonts w:eastAsia="MS Mincho" w:cs="Times New Roman"/>
          <w:strike/>
          <w:szCs w:val="20"/>
        </w:rPr>
        <w:t>face</w:t>
      </w:r>
      <w:r>
        <w:rPr>
          <w:rFonts w:eastAsia="MS Mincho" w:cs="Times New Roman"/>
          <w:szCs w:val="20"/>
        </w:rPr>
        <w:t xml:space="preserve"> amount </w:t>
      </w:r>
      <w:r>
        <w:rPr>
          <w:rFonts w:eastAsia="MS Mincho" w:cs="Times New Roman"/>
          <w:strike/>
          <w:szCs w:val="20"/>
        </w:rPr>
        <w:t>of the check</w:t>
      </w:r>
      <w:r>
        <w:rPr>
          <w:rFonts w:eastAsia="MS Mincho" w:cs="Times New Roman"/>
          <w:szCs w:val="20"/>
        </w:rPr>
        <w:t xml:space="preserve"> advanced for accepting a check for deferred presentment or deposit.  The fee or other consideration authorized by this subsection may be imposed only once for each written agreement.  Records must be kept by each licensee with sufficient detail to ensure that the fee or other consideration authorized by this subsection </w:t>
      </w:r>
      <w:r>
        <w:rPr>
          <w:rFonts w:eastAsia="MS Mincho" w:cs="Times New Roman"/>
          <w:strike/>
          <w:szCs w:val="20"/>
        </w:rPr>
        <w:t>may be</w:t>
      </w:r>
      <w:r>
        <w:rPr>
          <w:rFonts w:eastAsia="MS Mincho" w:cs="Times New Roman"/>
          <w:szCs w:val="20"/>
        </w:rPr>
        <w:t xml:space="preserve"> </w:t>
      </w:r>
      <w:r>
        <w:rPr>
          <w:rFonts w:eastAsia="MS Mincho" w:cs="Times New Roman"/>
          <w:szCs w:val="20"/>
          <w:u w:val="single"/>
        </w:rPr>
        <w:t>is</w:t>
      </w:r>
      <w:r>
        <w:rPr>
          <w:rFonts w:eastAsia="MS Mincho" w:cs="Times New Roman"/>
          <w:szCs w:val="20"/>
        </w:rPr>
        <w:t xml:space="preserve"> imposed only once for each written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t>(E)</w:t>
      </w:r>
      <w:r>
        <w:rPr>
          <w:rFonts w:eastAsia="MS Mincho" w:cs="Times New Roman"/>
          <w:szCs w:val="20"/>
        </w:rPr>
        <w:tab/>
        <w:t xml:space="preserve">A check accepted for deferred presentment or deposit pursuant to this chapter </w:t>
      </w:r>
      <w:r>
        <w:rPr>
          <w:rFonts w:eastAsia="MS Mincho" w:cs="Times New Roman"/>
          <w:strike/>
          <w:szCs w:val="20"/>
        </w:rPr>
        <w:t>may</w:t>
      </w:r>
      <w:r>
        <w:rPr>
          <w:rFonts w:eastAsia="MS Mincho" w:cs="Times New Roman"/>
          <w:szCs w:val="20"/>
        </w:rPr>
        <w:t xml:space="preserve"> </w:t>
      </w:r>
      <w:r>
        <w:rPr>
          <w:rFonts w:eastAsia="MS Mincho" w:cs="Times New Roman"/>
          <w:szCs w:val="20"/>
          <w:u w:val="single"/>
        </w:rPr>
        <w:t>must</w:t>
      </w:r>
      <w:r>
        <w:rPr>
          <w:rFonts w:eastAsia="MS Mincho" w:cs="Times New Roman"/>
          <w:szCs w:val="20"/>
        </w:rPr>
        <w:t xml:space="preserve"> not be repaid from the proceeds of another check accepted for deferred presentment or deposit by the same licensee or an affiliate of the licensee.  A licensee </w:t>
      </w:r>
      <w:r>
        <w:rPr>
          <w:rFonts w:eastAsia="MS Mincho" w:cs="Times New Roman"/>
          <w:strike/>
          <w:szCs w:val="20"/>
        </w:rPr>
        <w:t>shall</w:t>
      </w:r>
      <w:r>
        <w:rPr>
          <w:rFonts w:eastAsia="MS Mincho" w:cs="Times New Roman"/>
          <w:szCs w:val="20"/>
        </w:rPr>
        <w:t xml:space="preserve"> </w:t>
      </w:r>
      <w:r>
        <w:rPr>
          <w:rFonts w:eastAsia="MS Mincho" w:cs="Times New Roman"/>
          <w:szCs w:val="20"/>
          <w:u w:val="single"/>
        </w:rPr>
        <w:t>may</w:t>
      </w:r>
      <w:r>
        <w:rPr>
          <w:rFonts w:eastAsia="MS Mincho" w:cs="Times New Roman"/>
          <w:szCs w:val="20"/>
        </w:rPr>
        <w:t xml:space="preserve"> not renew or otherwise extend presentment of a check or withhold the check from deposit, for old or new consideration, for a period beyond the time set forth in the written agreement with the customer.  </w:t>
      </w:r>
      <w:r>
        <w:rPr>
          <w:rFonts w:eastAsia="MS Mincho" w:cs="Times New Roman"/>
          <w:szCs w:val="20"/>
          <w:u w:val="single"/>
        </w:rPr>
        <w:t>A licensee shall not enter into a deferred presentment agreement with a customer who has entered into an extended payment plan agreement with any licensee as provided in Section 34</w:t>
      </w:r>
      <w:r>
        <w:rPr>
          <w:rFonts w:eastAsia="MS Mincho" w:cs="Times New Roman"/>
          <w:szCs w:val="20"/>
          <w:u w:val="single"/>
        </w:rPr>
        <w:noBreakHyphen/>
        <w:t>39</w:t>
      </w:r>
      <w:r>
        <w:rPr>
          <w:rFonts w:eastAsia="MS Mincho" w:cs="Times New Roman"/>
          <w:szCs w:val="20"/>
          <w:u w:val="single"/>
        </w:rPr>
        <w:noBreakHyphen/>
        <w:t>280.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If a check is returned to the licensee from a payer financial institution due to insufficient funds, closed account, or stop payment order, the licensee may pursue all legally available civil means to collect the check including, but not limited to, the imposition of a returned check charge as provided in Section 34</w:t>
      </w:r>
      <w:r>
        <w:rPr>
          <w:rFonts w:eastAsia="MS Mincho" w:cs="Times New Roman"/>
          <w:szCs w:val="20"/>
        </w:rPr>
        <w:noBreakHyphen/>
        <w:t>11</w:t>
      </w:r>
      <w:r>
        <w:rPr>
          <w:rFonts w:eastAsia="MS Mincho" w:cs="Times New Roman"/>
          <w:szCs w:val="20"/>
        </w:rPr>
        <w:noBreakHyphen/>
        <w:t xml:space="preserve">70(a), except that the service charge imposed by the licensee </w:t>
      </w:r>
      <w:r>
        <w:rPr>
          <w:rFonts w:eastAsia="MS Mincho" w:cs="Times New Roman"/>
          <w:strike/>
          <w:szCs w:val="20"/>
        </w:rPr>
        <w:t>shall</w:t>
      </w:r>
      <w:r>
        <w:rPr>
          <w:rFonts w:eastAsia="MS Mincho" w:cs="Times New Roman"/>
          <w:szCs w:val="20"/>
        </w:rPr>
        <w:t xml:space="preserve"> </w:t>
      </w:r>
      <w:r>
        <w:rPr>
          <w:rFonts w:eastAsia="MS Mincho" w:cs="Times New Roman"/>
          <w:szCs w:val="20"/>
          <w:u w:val="single"/>
        </w:rPr>
        <w:t>may</w:t>
      </w:r>
      <w:r>
        <w:rPr>
          <w:rFonts w:eastAsia="MS Mincho" w:cs="Times New Roman"/>
          <w:szCs w:val="20"/>
        </w:rPr>
        <w:t xml:space="preserve"> not exceed the lesser of ten dollars or the fee imposed by the financial institution on the licensee for the returned check. An individual who issues a personal check to a licensee under a deferred presentment agreement is not subject to criminal penalty.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MS Mincho" w:cs="Times New Roman"/>
          <w:szCs w:val="20"/>
        </w:rPr>
        <w:tab/>
      </w:r>
      <w:r>
        <w:rPr>
          <w:rFonts w:eastAsia="Times New Roman" w:cs="Times New Roman"/>
          <w:szCs w:val="20"/>
        </w:rPr>
        <w:t>(G)</w:t>
      </w:r>
      <w:r>
        <w:rPr>
          <w:rFonts w:eastAsia="Times New Roman" w:cs="Times New Roman"/>
          <w:szCs w:val="20"/>
        </w:rPr>
        <w:tab/>
        <w:t>If a check is returned to the licensee from a payer financial institution due to insufficient funds, closed account, or stop payment order, the licensee may pursue all legally available civil means to collect the check including, but not limited to, the imposition of a returned check charge as provided in Section 34</w:t>
      </w:r>
      <w:r>
        <w:rPr>
          <w:rFonts w:eastAsia="Times New Roman" w:cs="Times New Roman"/>
          <w:szCs w:val="20"/>
        </w:rPr>
        <w:noBreakHyphen/>
        <w:t>11</w:t>
      </w:r>
      <w:r>
        <w:rPr>
          <w:rFonts w:eastAsia="Times New Roman" w:cs="Times New Roman"/>
          <w:szCs w:val="20"/>
        </w:rPr>
        <w:noBreakHyphen/>
        <w:t>70(a), except that the service charge imposed by the licensee shall not exceed the lesser of ten dollars or the fee imposed by the financial institution on the licensee for the returned check.  An individual who issues a personal check to a licensee under a deferred presentment agreement is not subject to criminal penalty.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ab/>
      </w:r>
      <w:r>
        <w:rPr>
          <w:rFonts w:eastAsia="Times New Roman" w:cs="Times New Roman"/>
          <w:szCs w:val="20"/>
          <w:u w:val="single"/>
        </w:rPr>
        <w:t>(H)</w:t>
      </w:r>
      <w:r>
        <w:rPr>
          <w:rFonts w:eastAsia="Times New Roman" w:cs="Times New Roman"/>
          <w:szCs w:val="20"/>
        </w:rPr>
        <w:tab/>
      </w:r>
      <w:r>
        <w:rPr>
          <w:rFonts w:eastAsia="Times New Roman" w:cs="Times New Roman"/>
          <w:szCs w:val="20"/>
          <w:u w:val="single"/>
        </w:rPr>
        <w:t>The board shall develop a form that must be used by all licensees to calculate the maximum amount of funds it may lend a customer based on the customer’s income during the term of the loan as required by subsection (A).  The form and copies of the documentation verifying the customer’s income shall be maintained by the licensee and a copy of both attached to the written agreement signed by the customer.</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6.</w:t>
      </w: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 xml:space="preserve">200 of the 1976 Code is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200.</w:t>
      </w:r>
      <w:r>
        <w:rPr>
          <w:rFonts w:eastAsia="MS Mincho" w:cs="Times New Roman"/>
          <w:szCs w:val="20"/>
        </w:rPr>
        <w:tab/>
        <w:t xml:space="preserve">A person required to be licensed pursuant to this chapter may not: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w:t>
      </w:r>
      <w:r>
        <w:rPr>
          <w:rFonts w:eastAsia="MS Mincho" w:cs="Times New Roman"/>
          <w:szCs w:val="20"/>
        </w:rPr>
        <w:tab/>
        <w:t xml:space="preserve">charge fees in excess of those authorized by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(2)</w:t>
      </w:r>
      <w:r>
        <w:rPr>
          <w:rFonts w:eastAsia="MS Mincho" w:cs="Times New Roman"/>
          <w:szCs w:val="20"/>
        </w:rPr>
        <w:tab/>
        <w:t xml:space="preserve">engage in the business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(i)</w:t>
      </w:r>
      <w:r>
        <w:rPr>
          <w:rFonts w:eastAsia="MS Mincho" w:cs="Times New Roman"/>
          <w:szCs w:val="20"/>
        </w:rPr>
        <w:tab/>
      </w:r>
      <w:r>
        <w:rPr>
          <w:rFonts w:eastAsia="MS Mincho" w:cs="Times New Roman"/>
          <w:szCs w:val="20"/>
        </w:rPr>
        <w:tab/>
        <w:t xml:space="preserve">making loans of money or extension of credit;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(ii)</w:t>
      </w:r>
      <w:r>
        <w:rPr>
          <w:rFonts w:eastAsia="MS Mincho" w:cs="Times New Roman"/>
          <w:szCs w:val="20"/>
        </w:rPr>
        <w:tab/>
        <w:t xml:space="preserve">discounting notes, bills of exchange, items, or other evidences of debt;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(iii)</w:t>
      </w:r>
      <w:r>
        <w:rPr>
          <w:rFonts w:eastAsia="MS Mincho" w:cs="Times New Roman"/>
          <w:szCs w:val="20"/>
        </w:rPr>
        <w:tab/>
        <w:t>accepting deposits or bailments of money or items, except as expressly provided by Section 34</w:t>
      </w:r>
      <w:r>
        <w:rPr>
          <w:rFonts w:eastAsia="MS Mincho" w:cs="Times New Roman"/>
          <w:szCs w:val="20"/>
        </w:rPr>
        <w:noBreakHyphen/>
        <w:t>39</w:t>
      </w:r>
      <w:r>
        <w:rPr>
          <w:rFonts w:eastAsia="MS Mincho" w:cs="Times New Roman"/>
          <w:szCs w:val="20"/>
        </w:rPr>
        <w:noBreakHyphen/>
        <w:t xml:space="preserve">180;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(3)</w:t>
      </w:r>
      <w:r>
        <w:rPr>
          <w:rFonts w:eastAsia="MS Mincho" w:cs="Times New Roman"/>
          <w:szCs w:val="20"/>
        </w:rPr>
        <w:tab/>
        <w:t xml:space="preserve">use or cause to be published or disseminated advertising communication which contains false, misleading, or deceptive statements or representations;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(4)</w:t>
      </w:r>
      <w:r>
        <w:rPr>
          <w:rFonts w:eastAsia="MS Mincho" w:cs="Times New Roman"/>
          <w:szCs w:val="20"/>
        </w:rPr>
        <w:tab/>
        <w:t xml:space="preserve">conduct business at premises or locations other than locations licensed by the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(5)</w:t>
      </w:r>
      <w:r>
        <w:rPr>
          <w:rFonts w:eastAsia="MS Mincho" w:cs="Times New Roman"/>
          <w:szCs w:val="20"/>
        </w:rPr>
        <w:tab/>
        <w:t>engage in unfair, deceptive, or fraudulent practices, including unconscionable conduct in violation of Section 37</w:t>
      </w:r>
      <w:r>
        <w:rPr>
          <w:rFonts w:eastAsia="MS Mincho" w:cs="Times New Roman"/>
          <w:szCs w:val="20"/>
        </w:rPr>
        <w:noBreakHyphen/>
        <w:t>5</w:t>
      </w:r>
      <w:r>
        <w:rPr>
          <w:rFonts w:eastAsia="MS Mincho" w:cs="Times New Roman"/>
          <w:szCs w:val="20"/>
        </w:rPr>
        <w:noBreakHyphen/>
        <w:t xml:space="preserve">108;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(6)</w:t>
      </w:r>
      <w:r>
        <w:rPr>
          <w:rFonts w:eastAsia="MS Mincho" w:cs="Times New Roman"/>
          <w:szCs w:val="20"/>
        </w:rPr>
        <w:tab/>
        <w:t xml:space="preserve">alter or delete the date on a check accepted by the licensee;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(7)</w:t>
      </w:r>
      <w:r>
        <w:rPr>
          <w:rFonts w:eastAsia="MS Mincho" w:cs="Times New Roman"/>
          <w:szCs w:val="20"/>
        </w:rPr>
        <w:tab/>
        <w:t xml:space="preserve">accept an undated check or a check dated on a date other than the date on which the licensee accepts the check;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(8)</w:t>
      </w:r>
      <w:r>
        <w:rPr>
          <w:rFonts w:eastAsia="MS Mincho" w:cs="Times New Roman"/>
          <w:szCs w:val="20"/>
        </w:rPr>
        <w:tab/>
        <w:t xml:space="preserve">require a customer to provide security for the transaction or require the customer to provide a guaranty from another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(9)</w:t>
      </w:r>
      <w:r>
        <w:rPr>
          <w:rFonts w:eastAsia="MS Mincho" w:cs="Times New Roman"/>
          <w:szCs w:val="20"/>
        </w:rPr>
        <w:tab/>
        <w:t>engage in the retail sale of goods or services, other than deferred presentment services and Level I check</w:t>
      </w:r>
      <w:r>
        <w:rPr>
          <w:rFonts w:eastAsia="MS Mincho" w:cs="Times New Roman"/>
          <w:szCs w:val="20"/>
        </w:rPr>
        <w:noBreakHyphen/>
        <w:t>cashing services as defined in Section 34</w:t>
      </w:r>
      <w:r>
        <w:rPr>
          <w:rFonts w:eastAsia="MS Mincho" w:cs="Times New Roman"/>
          <w:szCs w:val="20"/>
        </w:rPr>
        <w:noBreakHyphen/>
        <w:t>41</w:t>
      </w:r>
      <w:r>
        <w:rPr>
          <w:rFonts w:eastAsia="MS Mincho" w:cs="Times New Roman"/>
          <w:szCs w:val="20"/>
        </w:rPr>
        <w:noBreakHyphen/>
        <w:t xml:space="preserve">10, at the location licensed pursuant to this chapter, </w:t>
      </w:r>
      <w:r>
        <w:rPr>
          <w:rFonts w:eastAsia="MS Mincho" w:cs="Times New Roman"/>
          <w:strike/>
          <w:szCs w:val="20"/>
        </w:rPr>
        <w:t>provided, however</w:t>
      </w:r>
      <w:r>
        <w:rPr>
          <w:rFonts w:eastAsia="MS Mincho" w:cs="Times New Roman"/>
          <w:szCs w:val="20"/>
        </w:rPr>
        <w:t xml:space="preserve"> </w:t>
      </w:r>
      <w:r>
        <w:rPr>
          <w:rFonts w:eastAsia="MS Mincho" w:cs="Times New Roman"/>
          <w:szCs w:val="20"/>
          <w:u w:val="single"/>
        </w:rPr>
        <w:t>except</w:t>
      </w:r>
      <w:r>
        <w:rPr>
          <w:rFonts w:eastAsia="MS Mincho" w:cs="Times New Roman"/>
          <w:szCs w:val="20"/>
        </w:rPr>
        <w:t>, that a sale of money orders</w:t>
      </w:r>
      <w:r>
        <w:rPr>
          <w:rFonts w:eastAsia="MS Mincho" w:cs="Times New Roman"/>
          <w:strike/>
          <w:szCs w:val="20"/>
        </w:rPr>
        <w:t>,</w:t>
      </w:r>
      <w:r>
        <w:rPr>
          <w:rFonts w:eastAsia="MS Mincho" w:cs="Times New Roman"/>
          <w:szCs w:val="20"/>
        </w:rPr>
        <w:t xml:space="preserve"> </w:t>
      </w:r>
      <w:r>
        <w:rPr>
          <w:rFonts w:eastAsia="MS Mincho" w:cs="Times New Roman"/>
          <w:szCs w:val="20"/>
          <w:u w:val="single"/>
        </w:rPr>
        <w:t>or</w:t>
      </w:r>
      <w:r>
        <w:rPr>
          <w:rFonts w:eastAsia="MS Mincho" w:cs="Times New Roman"/>
          <w:szCs w:val="20"/>
        </w:rPr>
        <w:t xml:space="preserve"> postage stamps, </w:t>
      </w:r>
      <w:r>
        <w:rPr>
          <w:rFonts w:eastAsia="MS Mincho" w:cs="Times New Roman"/>
          <w:szCs w:val="20"/>
          <w:u w:val="single"/>
        </w:rPr>
        <w:t>and the</w:t>
      </w:r>
      <w:r>
        <w:rPr>
          <w:rFonts w:eastAsia="MS Mincho" w:cs="Times New Roman"/>
          <w:szCs w:val="20"/>
        </w:rPr>
        <w:t xml:space="preserve"> payment of utility bills with </w:t>
      </w:r>
      <w:r>
        <w:rPr>
          <w:rFonts w:eastAsia="MS Mincho" w:cs="Times New Roman"/>
          <w:strike/>
          <w:szCs w:val="20"/>
        </w:rPr>
        <w:t>no additional</w:t>
      </w:r>
      <w:r>
        <w:rPr>
          <w:rFonts w:eastAsia="MS Mincho" w:cs="Times New Roman"/>
          <w:szCs w:val="20"/>
        </w:rPr>
        <w:t xml:space="preserve"> a fee to the customer </w:t>
      </w:r>
      <w:r>
        <w:rPr>
          <w:rFonts w:eastAsia="MS Mincho" w:cs="Times New Roman"/>
          <w:szCs w:val="20"/>
          <w:u w:val="single"/>
        </w:rPr>
        <w:t>that does not exceed one percent of the bill being paid</w:t>
      </w:r>
      <w:r>
        <w:rPr>
          <w:rFonts w:eastAsia="MS Mincho" w:cs="Times New Roman"/>
          <w:szCs w:val="20"/>
        </w:rPr>
        <w:t xml:space="preserve">, vending machines for food or beverage, facsimile services, </w:t>
      </w:r>
      <w:r>
        <w:rPr>
          <w:rFonts w:eastAsia="MS Mincho" w:cs="Times New Roman"/>
          <w:strike/>
          <w:szCs w:val="20"/>
        </w:rPr>
        <w:t>Western Union</w:t>
      </w:r>
      <w:r>
        <w:rPr>
          <w:rFonts w:eastAsia="MS Mincho" w:cs="Times New Roman"/>
          <w:szCs w:val="20"/>
        </w:rPr>
        <w:t xml:space="preserve">  </w:t>
      </w:r>
      <w:r>
        <w:rPr>
          <w:rFonts w:eastAsia="MS Mincho" w:cs="Times New Roman"/>
          <w:szCs w:val="20"/>
          <w:u w:val="single"/>
        </w:rPr>
        <w:t>wire transfer or money transmitter</w:t>
      </w:r>
      <w:r>
        <w:rPr>
          <w:rFonts w:eastAsia="MS Mincho" w:cs="Times New Roman"/>
          <w:szCs w:val="20"/>
        </w:rPr>
        <w:t xml:space="preserve"> services, or </w:t>
      </w:r>
      <w:r>
        <w:rPr>
          <w:rFonts w:eastAsia="MS Mincho" w:cs="Times New Roman"/>
          <w:szCs w:val="20"/>
          <w:u w:val="single"/>
        </w:rPr>
        <w:t>rental of</w:t>
      </w:r>
      <w:r>
        <w:rPr>
          <w:rFonts w:eastAsia="MS Mincho" w:cs="Times New Roman"/>
          <w:szCs w:val="20"/>
        </w:rPr>
        <w:t xml:space="preserve"> postal boxes at rates not higher than allowed by the United States Postal Service </w:t>
      </w:r>
      <w:r>
        <w:rPr>
          <w:rFonts w:eastAsia="MS Mincho" w:cs="Times New Roman"/>
          <w:strike/>
          <w:szCs w:val="20"/>
        </w:rPr>
        <w:t>is</w:t>
      </w:r>
      <w:r>
        <w:rPr>
          <w:rFonts w:eastAsia="MS Mincho" w:cs="Times New Roman"/>
          <w:szCs w:val="20"/>
        </w:rPr>
        <w:t xml:space="preserve"> </w:t>
      </w:r>
      <w:r>
        <w:rPr>
          <w:rFonts w:eastAsia="MS Mincho" w:cs="Times New Roman"/>
          <w:szCs w:val="20"/>
          <w:u w:val="single"/>
        </w:rPr>
        <w:t>are</w:t>
      </w:r>
      <w:r>
        <w:rPr>
          <w:rFonts w:eastAsia="MS Mincho" w:cs="Times New Roman"/>
          <w:szCs w:val="20"/>
        </w:rPr>
        <w:t xml:space="preserve"> not the </w:t>
      </w:r>
      <w:r>
        <w:rPr>
          <w:rFonts w:eastAsia="MS Mincho" w:cs="Times New Roman"/>
          <w:strike/>
          <w:szCs w:val="20"/>
        </w:rPr>
        <w:t>sale</w:t>
      </w:r>
      <w:r>
        <w:rPr>
          <w:rFonts w:eastAsia="MS Mincho" w:cs="Times New Roman"/>
          <w:szCs w:val="20"/>
        </w:rPr>
        <w:t xml:space="preserve"> </w:t>
      </w:r>
      <w:r>
        <w:rPr>
          <w:rFonts w:eastAsia="MS Mincho" w:cs="Times New Roman"/>
          <w:szCs w:val="20"/>
          <w:u w:val="single"/>
        </w:rPr>
        <w:t>sales</w:t>
      </w:r>
      <w:r>
        <w:rPr>
          <w:rFonts w:eastAsia="MS Mincho" w:cs="Times New Roman"/>
          <w:szCs w:val="20"/>
        </w:rPr>
        <w:t xml:space="preserve"> of goods or services prohibited by this subsection;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(10)</w:t>
      </w:r>
      <w:r>
        <w:rPr>
          <w:rFonts w:eastAsia="MS Mincho" w:cs="Times New Roman"/>
          <w:szCs w:val="20"/>
        </w:rPr>
        <w:tab/>
        <w:t>be licensed pursuant to Section 12</w:t>
      </w:r>
      <w:r>
        <w:rPr>
          <w:rFonts w:eastAsia="MS Mincho" w:cs="Times New Roman"/>
          <w:szCs w:val="20"/>
        </w:rPr>
        <w:noBreakHyphen/>
        <w:t>21</w:t>
      </w:r>
      <w:r>
        <w:rPr>
          <w:rFonts w:eastAsia="MS Mincho" w:cs="Times New Roman"/>
          <w:szCs w:val="20"/>
        </w:rPr>
        <w:noBreakHyphen/>
        <w:t xml:space="preserve">2720(a)(3) to operate a video poker machine; </w:t>
      </w:r>
      <w:r>
        <w:rPr>
          <w:rFonts w:eastAsia="MS Mincho" w:cs="Times New Roman"/>
          <w:strike/>
          <w:szCs w:val="20"/>
        </w:rPr>
        <w:t>or</w:t>
      </w:r>
      <w:r>
        <w:rPr>
          <w:rFonts w:eastAsia="MS Mincho"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t>(11)</w:t>
      </w:r>
      <w:r>
        <w:rPr>
          <w:rFonts w:eastAsia="MS Mincho" w:cs="Times New Roman"/>
          <w:szCs w:val="20"/>
        </w:rPr>
        <w:tab/>
        <w:t>permit others to engage in an activity prohibited by this section at a location licensed pursuant to this chapter</w:t>
      </w:r>
      <w:r>
        <w:rPr>
          <w:rFonts w:eastAsia="MS Mincho" w:cs="Times New Roman"/>
          <w:strike/>
          <w:szCs w:val="20"/>
        </w:rPr>
        <w:t>.</w:t>
      </w:r>
      <w:r>
        <w:rPr>
          <w:rFonts w:eastAsia="MS Mincho" w:cs="Times New Roman"/>
          <w:szCs w:val="20"/>
        </w:rPr>
        <w:t xml:space="preserve"> </w:t>
      </w:r>
      <w:r>
        <w:rPr>
          <w:rFonts w:eastAsia="MS Mincho" w:cs="Times New Roman"/>
          <w:szCs w:val="20"/>
          <w:u w:val="single"/>
        </w:rPr>
        <w: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u w:val="single"/>
        </w:rPr>
        <w:t>(12)</w:t>
      </w:r>
      <w:r>
        <w:rPr>
          <w:rFonts w:eastAsia="MS Mincho" w:cs="Times New Roman"/>
          <w:szCs w:val="20"/>
        </w:rPr>
        <w:tab/>
      </w:r>
      <w:r>
        <w:rPr>
          <w:rFonts w:eastAsia="MS Mincho" w:cs="Times New Roman"/>
          <w:szCs w:val="20"/>
          <w:u w:val="single"/>
        </w:rPr>
        <w:t>broker or arrange a deferred presentment transaction on behalf of a third</w:t>
      </w:r>
      <w:r>
        <w:rPr>
          <w:rFonts w:eastAsia="MS Mincho" w:cs="Times New Roman"/>
          <w:szCs w:val="20"/>
          <w:u w:val="single"/>
        </w:rPr>
        <w:noBreakHyphen/>
        <w:t>party lender, unless the transaction complies with the provisions of this chapter and is not preempted by federal law.</w:t>
      </w:r>
      <w:r>
        <w:rPr>
          <w:rFonts w:eastAsia="MS Mincho"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7.</w:t>
      </w:r>
      <w:r>
        <w:rPr>
          <w:rFonts w:eastAsia="MS Mincho" w:cs="Times New Roman"/>
          <w:szCs w:val="20"/>
        </w:rPr>
        <w:tab/>
        <w:t>Chapter 39, Title 34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39</w:t>
      </w:r>
      <w:r>
        <w:rPr>
          <w:rFonts w:eastAsia="MS Mincho" w:cs="Times New Roman"/>
          <w:szCs w:val="20"/>
        </w:rPr>
        <w:noBreakHyphen/>
        <w:t>34</w:t>
      </w:r>
      <w:r>
        <w:rPr>
          <w:rFonts w:eastAsia="MS Mincho" w:cs="Times New Roman"/>
          <w:szCs w:val="20"/>
        </w:rPr>
        <w:noBreakHyphen/>
        <w:t>205.</w:t>
      </w:r>
      <w:r>
        <w:rPr>
          <w:rFonts w:eastAsia="MS Mincho" w:cs="Times New Roman"/>
          <w:szCs w:val="20"/>
        </w:rPr>
        <w:tab/>
        <w:t>On</w:t>
      </w:r>
      <w:r>
        <w:rPr>
          <w:rFonts w:eastAsia="MS Mincho" w:cs="Times New Roman"/>
          <w:szCs w:val="20"/>
        </w:rPr>
        <w:noBreakHyphen/>
        <w:t>premises advertising by a licensee may not contain false, misleading, or deceptive statements or representations.  The board must promulgate regulations necessary to administer and enforce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 8.</w:t>
      </w:r>
      <w:r>
        <w:rPr>
          <w:rFonts w:eastAsia="Times New Roman" w:cs="Times New Roman"/>
          <w:szCs w:val="20"/>
        </w:rPr>
        <w:tab/>
        <w:t>Section 34</w:t>
      </w:r>
      <w:r>
        <w:rPr>
          <w:rFonts w:eastAsia="Times New Roman" w:cs="Times New Roman"/>
          <w:szCs w:val="20"/>
        </w:rPr>
        <w:noBreakHyphen/>
        <w:t>39</w:t>
      </w:r>
      <w:r>
        <w:rPr>
          <w:rFonts w:eastAsia="Times New Roman" w:cs="Times New Roman"/>
          <w:szCs w:val="20"/>
        </w:rPr>
        <w:noBreakHyphen/>
        <w:t>170 of the 1976 Code is amended by adding an appropriately numbered new item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w:t>
      </w:r>
      <w:r>
        <w:rPr>
          <w:rFonts w:eastAsia="Times New Roman" w:cs="Times New Roman"/>
          <w:szCs w:val="20"/>
        </w:rPr>
        <w:tab/>
        <w:t>A licensee and a customer may not enter into an automatic debit loan payment agreement to satisfy any portion of a deferred presentment loan.”</w:t>
      </w:r>
      <w:r>
        <w:rPr>
          <w:rFonts w:eastAsia="Times New Roman" w:cs="Times New Roman"/>
          <w:szCs w:val="20"/>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SECTION</w:t>
      </w:r>
      <w:r>
        <w:rPr>
          <w:rFonts w:eastAsia="Times New Roman" w:cs="Times New Roman"/>
          <w:szCs w:val="20"/>
        </w:rPr>
        <w:tab/>
        <w:t>9.</w:t>
      </w:r>
      <w:r>
        <w:rPr>
          <w:rFonts w:eastAsia="Times New Roman" w:cs="Times New Roman"/>
          <w:szCs w:val="20"/>
        </w:rPr>
        <w:tab/>
      </w:r>
      <w:r>
        <w:rPr>
          <w:rFonts w:eastAsia="MS Mincho" w:cs="Times New Roman"/>
          <w:szCs w:val="20"/>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MS Mincho" w:cs="Times New Roman"/>
          <w:szCs w:val="20"/>
        </w:rPr>
        <w:t>SECTION</w:t>
      </w:r>
      <w:r>
        <w:rPr>
          <w:rFonts w:eastAsia="MS Mincho" w:cs="Times New Roman"/>
          <w:szCs w:val="20"/>
        </w:rPr>
        <w:tab/>
        <w:t>10.</w:t>
      </w:r>
      <w:r>
        <w:rPr>
          <w:rFonts w:eastAsia="MS Mincho" w:cs="Times New Roman"/>
          <w:szCs w:val="20"/>
        </w:rPr>
        <w:tab/>
        <w:t>This act takes effect January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BE4BAD-4E80-48AE-9558-3BC1EB88EED2}"/>
    <w:embedBold r:id="rId2" w:fontKey="{B677DC18-33D8-47AB-879F-FB654DBBBF35}"/>
  </w:font>
  <w:font w:name="Calibri">
    <w:panose1 w:val="020F0502020204030204"/>
    <w:charset w:val="00"/>
    <w:family w:val="swiss"/>
    <w:pitch w:val="variable"/>
    <w:sig w:usb0="A00002EF" w:usb1="4000207B" w:usb2="00000000" w:usb3="00000000" w:csb0="0000009F" w:csb1="00000000"/>
    <w:embedRegular r:id="rId3" w:fontKey="{13384EFF-9329-46FD-8FAB-EE5B5DCF131E}"/>
  </w:font>
  <w:font w:name="Tahoma">
    <w:panose1 w:val="020B0604030504040204"/>
    <w:charset w:val="00"/>
    <w:family w:val="swiss"/>
    <w:pitch w:val="variable"/>
    <w:sig w:usb0="61002A87" w:usb1="80000000" w:usb2="00000008" w:usb3="00000000" w:csb0="000101FF" w:csb1="00000000"/>
    <w:embedRegular r:id="rId4" w:fontKey="{D988DE75-C547-4E16-B301-2FC435BA4CDE}"/>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1D8D3DE6-E96C-4333-9E29-9EA586C417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[15]</w:t>
    </w:r>
    <w:r>
      <w:tab/>
    </w:r>
    <w:fldSimple w:instr=" PAGE  \* MERGEFORMAT ">
      <w:r>
        <w:rPr>
          <w:noProof/>
        </w:rPr>
        <w:t>10</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3460</Words>
  <Characters>19725</Characters>
  <Application>Microsoft Office Word</Application>
  <DocSecurity>0</DocSecurity>
  <Lines>164</Lines>
  <Paragraphs>46</Paragraphs>
  <ScaleCrop>false</ScaleCrop>
  <Company>Project Management</Company>
  <LinksUpToDate>false</LinksUpToDate>
  <CharactersWithSpaces>23139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2008-12-10T19:10:00Z</dcterms:created>
  <dcterms:modified xsi:type="dcterms:W3CDTF">2008-12-10T19:10:00Z</dcterms:modified>
</cp:coreProperties>
</file>