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TO AMEND THE CODE OF LAWS OF SOUTH CAROLINA, 1976, BY REPEALING SECTIONS 4</w:t>
      </w:r>
      <w:r>
        <w:rPr>
          <w:rFonts w:eastAsia="Times New Roman" w:cs="Times New Roman"/>
        </w:rPr>
        <w:noBreakHyphen/>
        <w:t>10</w:t>
      </w:r>
      <w:r>
        <w:rPr>
          <w:rFonts w:eastAsia="Times New Roman" w:cs="Times New Roman"/>
        </w:rPr>
        <w:noBreakHyphen/>
        <w:t>810 AND 59</w:t>
      </w:r>
      <w:r>
        <w:rPr>
          <w:rFonts w:eastAsia="Times New Roman" w:cs="Times New Roman"/>
        </w:rPr>
        <w:noBreakHyphen/>
        <w:t>21</w:t>
      </w:r>
      <w:r>
        <w:rPr>
          <w:rFonts w:eastAsia="Times New Roman" w:cs="Times New Roman"/>
        </w:rPr>
        <w:noBreakHyphen/>
        <w:t>1030 RELATING TO THE LEVEL OF FINANCIAL EFFORT PER PUPIL REQUIRED OF EACH SCHOOL DISTRICT.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The General Assembly finds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(1)</w:t>
      </w:r>
      <w:r>
        <w:rPr>
          <w:rFonts w:eastAsia="Times New Roman" w:cs="Times New Roman"/>
        </w:rPr>
        <w:tab/>
        <w:t>The “Maintenance of Effort” provision of the Education Improvement Act is irrelevant and must be eliminated for the following reasons: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(a)</w:t>
      </w:r>
      <w:r>
        <w:rPr>
          <w:rFonts w:eastAsia="Times New Roman" w:cs="Times New Roman"/>
        </w:rPr>
        <w:tab/>
        <w:t>School districts, at best, can only estimate their contributions to the funding scheme provided in the Education Improvement Act because of the restrictive timeline for which predictions must be made according to the Maintenance of Effort requirement.  School districts must predict revenues in March, which are not realized until July first.  In May, school districts predict student population for the next school year, and these determinations are not reviewed by the State for more than one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(b)</w:t>
      </w:r>
      <w:r>
        <w:rPr>
          <w:rFonts w:eastAsia="Times New Roman" w:cs="Times New Roman"/>
        </w:rPr>
        <w:tab/>
        <w:t>Because of the timing constraints, no school district has ever been penalized in the over thirty</w:t>
      </w:r>
      <w:r>
        <w:rPr>
          <w:rFonts w:eastAsia="Times New Roman" w:cs="Times New Roman"/>
        </w:rPr>
        <w:noBreakHyphen/>
        <w:t>year existence of the Maintenance of Effort requirement.  Furthermore, four different attorney generals have ruled that no penalty will ever be imposed.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(c)</w:t>
      </w:r>
      <w:r>
        <w:rPr>
          <w:rFonts w:eastAsia="Times New Roman" w:cs="Times New Roman"/>
        </w:rPr>
        <w:tab/>
        <w:t>While waivers to parts of the Maintenance of Effort provision are routinely generated, the annual level of grade improvement, a particularly rigorous requirement, remains mandatory and is difficult to achieve in some excellent school districts.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(d)</w:t>
      </w:r>
      <w:r>
        <w:rPr>
          <w:rFonts w:eastAsia="Times New Roman" w:cs="Times New Roman"/>
        </w:rPr>
        <w:tab/>
        <w:t>Audits, which occur approximately two years after predictions are made, never produce a rollback in property taxes in the event actual revenues exceed the estimates.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(e)</w:t>
      </w:r>
      <w:r>
        <w:rPr>
          <w:rFonts w:eastAsia="Times New Roman" w:cs="Times New Roman"/>
        </w:rPr>
        <w:tab/>
        <w:t>Unfortunately, school districts in this State now routinely use this law as a basis by which to increase millage and then place blame on state legislators who force them to raise millage because of the Maintenance of Effort.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(2)</w:t>
      </w:r>
      <w:r>
        <w:rPr>
          <w:rFonts w:eastAsia="Times New Roman" w:cs="Times New Roman"/>
        </w:rPr>
        <w:tab/>
        <w:t>Repeal of the Maintenance of Effort provision is necessary to allow school districts to acquire funding based on need and not on an artificial construct.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Sections 4</w:t>
      </w:r>
      <w:r>
        <w:rPr>
          <w:rFonts w:eastAsia="Times New Roman" w:cs="Times New Roman"/>
        </w:rPr>
        <w:noBreakHyphen/>
        <w:t>10</w:t>
      </w:r>
      <w:r>
        <w:rPr>
          <w:rFonts w:eastAsia="Times New Roman" w:cs="Times New Roman"/>
        </w:rPr>
        <w:noBreakHyphen/>
        <w:t>810 and 59</w:t>
      </w:r>
      <w:r>
        <w:rPr>
          <w:rFonts w:eastAsia="Times New Roman" w:cs="Times New Roman"/>
        </w:rPr>
        <w:noBreakHyphen/>
        <w:t>21</w:t>
      </w:r>
      <w:r>
        <w:rPr>
          <w:rFonts w:eastAsia="Times New Roman" w:cs="Times New Roman"/>
        </w:rPr>
        <w:noBreakHyphen/>
        <w:t>1030 of the 1976 Code are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5BF2AF-B412-4E28-95A6-4477E142400E}"/>
    <w:embedBold r:id="rId2" w:fontKey="{6580C2CF-FD15-4117-AD7F-EE047BDB8C66}"/>
  </w:font>
  <w:font w:name="Calibri">
    <w:panose1 w:val="020F0502020204030204"/>
    <w:charset w:val="00"/>
    <w:family w:val="swiss"/>
    <w:pitch w:val="variable"/>
    <w:sig w:usb0="A00002EF" w:usb1="4000207B" w:usb2="00000000" w:usb3="00000000" w:csb0="0000009F" w:csb1="00000000"/>
    <w:embedRegular r:id="rId3" w:fontKey="{DEC23F7D-1E02-4470-ADD0-F1F08E84E37F}"/>
  </w:font>
  <w:font w:name="Tahoma">
    <w:panose1 w:val="020B0604030504040204"/>
    <w:charset w:val="00"/>
    <w:family w:val="swiss"/>
    <w:pitch w:val="variable"/>
    <w:sig w:usb0="61002A87" w:usb1="80000000" w:usb2="00000008" w:usb3="00000000" w:csb0="000101FF" w:csb1="00000000"/>
    <w:embedRegular r:id="rId4" w:fontKey="{5644AB7F-18A8-4FCB-BAFA-E1E826EF744D}"/>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BB4BEC57-EBAD-48EE-AA2C-40BC84410E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[175]</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325</Words>
  <Characters>1858</Characters>
  <Application>Microsoft Office Word</Application>
  <DocSecurity>0</DocSecurity>
  <Lines>15</Lines>
  <Paragraphs>4</Paragraphs>
  <ScaleCrop>false</ScaleCrop>
  <Company>Project Management</Company>
  <LinksUpToDate>false</LinksUpToDate>
  <CharactersWithSpaces>2179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2008-12-10T21:24:00Z</dcterms:created>
  <dcterms:modified xsi:type="dcterms:W3CDTF">2008-12-10T21:24:00Z</dcterms:modified>
</cp:coreProperties>
</file>