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2" w:name="titletop"/>
      <w:bookmarkEnd w:id="2"/>
      <w:r>
        <w:rPr>
          <w:rFonts w:cs="Times New Roman"/>
        </w:rPr>
        <w:t>TO AMEND SECTION 15</w:t>
      </w:r>
      <w:r>
        <w:rPr>
          <w:rFonts w:cs="Times New Roman"/>
        </w:rPr>
        <w:noBreakHyphen/>
        <w:t>77</w:t>
      </w:r>
      <w:r>
        <w:rPr>
          <w:rFonts w:cs="Times New Roman"/>
        </w:rPr>
        <w:noBreakHyphen/>
        <w:t>300, CODE OF LAWS OF SOUTH CAROLINA, 1976, RELATING TO ALLOWANCE OF ATTORNEY’S FEES IN STATE</w:t>
      </w:r>
      <w:r>
        <w:rPr>
          <w:rFonts w:cs="Times New Roman"/>
        </w:rPr>
        <w:noBreakHyphen/>
        <w:t>INITIATED ACTIONS, SO AS TO LIMIT THE FEE TO A REASONABLE TIME EXPENDED AT A REASONABLE RATE.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rFonts w:eastAsia="Times New Roman" w:cs="Times New Roman"/>
          <w:szCs w:val="20"/>
        </w:rPr>
      </w:pPr>
      <w:r>
        <w:rPr>
          <w:rFonts w:eastAsia="Times New Roman" w:cs="Times New Roman"/>
        </w:rPr>
        <w:t>SECTION</w:t>
      </w:r>
      <w:r>
        <w:rPr>
          <w:rFonts w:eastAsia="Times New Roman" w:cs="Times New Roman"/>
        </w:rPr>
        <w:tab/>
        <w:t>1.</w:t>
      </w:r>
      <w:r>
        <w:rPr>
          <w:rFonts w:eastAsia="Times New Roman" w:cs="Times New Roman"/>
        </w:rPr>
        <w:tab/>
      </w:r>
      <w:r>
        <w:rPr>
          <w:rFonts w:eastAsia="Times New Roman" w:cs="Times New Roman"/>
          <w:szCs w:val="20"/>
        </w:rPr>
        <w:t>Section 15</w:t>
      </w:r>
      <w:r>
        <w:rPr>
          <w:rFonts w:eastAsia="Times New Roman" w:cs="Times New Roman"/>
          <w:szCs w:val="20"/>
        </w:rPr>
        <w:noBreakHyphen/>
        <w:t>77</w:t>
      </w:r>
      <w:r>
        <w:rPr>
          <w:rFonts w:eastAsia="Times New Roman" w:cs="Times New Roman"/>
          <w:szCs w:val="20"/>
        </w:rPr>
        <w:noBreakHyphen/>
        <w:t>300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15</w:t>
      </w:r>
      <w:r>
        <w:rPr>
          <w:rFonts w:eastAsia="Times New Roman" w:cs="Times New Roman"/>
          <w:szCs w:val="20"/>
        </w:rPr>
        <w:noBreakHyphen/>
        <w:t>77</w:t>
      </w:r>
      <w:r>
        <w:rPr>
          <w:rFonts w:eastAsia="Times New Roman" w:cs="Times New Roman"/>
          <w:szCs w:val="20"/>
        </w:rPr>
        <w:noBreakHyphen/>
        <w:t>300.</w:t>
      </w:r>
      <w:r>
        <w:rPr>
          <w:rFonts w:eastAsia="Times New Roman" w:cs="Times New Roman"/>
          <w:szCs w:val="20"/>
        </w:rPr>
        <w:tab/>
      </w:r>
      <w:r>
        <w:rPr>
          <w:rFonts w:eastAsia="Times New Roman" w:cs="Times New Roman"/>
          <w:szCs w:val="20"/>
          <w:u w:val="single"/>
        </w:rPr>
        <w:t>(A)</w:t>
      </w:r>
      <w:r>
        <w:rPr>
          <w:rFonts w:eastAsia="Times New Roman" w:cs="Times New Roman"/>
          <w:szCs w:val="20"/>
        </w:rPr>
        <w:tab/>
        <w:t xml:space="preserve">In any civil action brought by the State, any political subdivision of the State or any party who is contesting state action, unless the prevailing party is the State or any political subdivision of the State, the court may allow the prevailing party to recover reasonable attorney’s fees to be taxed as court costs against the appropriate agency if: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r>
      <w:r>
        <w:rPr>
          <w:rFonts w:eastAsia="Times New Roman" w:cs="Times New Roman"/>
          <w:strike/>
          <w:szCs w:val="20"/>
        </w:rPr>
        <w:t>The</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court finds that the agency acted without substantial justification</w:t>
      </w:r>
      <w:r>
        <w:rPr>
          <w:rFonts w:eastAsia="Times New Roman" w:cs="Times New Roman"/>
          <w:szCs w:val="20"/>
          <w:u w:val="single"/>
        </w:rPr>
        <w:t>, in law and fact,</w:t>
      </w:r>
      <w:r>
        <w:rPr>
          <w:rFonts w:eastAsia="Times New Roman" w:cs="Times New Roman"/>
          <w:szCs w:val="20"/>
        </w:rPr>
        <w:t xml:space="preserve"> in pressing its claim against the party; and</w:t>
      </w:r>
      <w:r>
        <w:rPr>
          <w:rFonts w:eastAsia="Times New Roman" w:cs="Times New Roman"/>
          <w:szCs w:val="20"/>
        </w:rPr>
        <w:tab/>
      </w:r>
      <w:r>
        <w:rPr>
          <w:rFonts w:eastAsia="Times New Roman" w:cs="Times New Roman"/>
          <w:szCs w:val="20"/>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r>
      <w:r>
        <w:rPr>
          <w:rFonts w:eastAsia="Times New Roman" w:cs="Times New Roman"/>
          <w:strike/>
          <w:szCs w:val="20"/>
        </w:rPr>
        <w:t>The</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court finds that there are no special circumstances that would make the award of attorney’s fees unjust.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u w:val="single"/>
        </w:rPr>
        <w:t>The agency is presumed to be substantially justified in pressing its claim against the party if the agency follows the mandate of state law that has not been invalidated by a court of competent jurisdiction.</w:t>
      </w:r>
      <w:r>
        <w:rPr>
          <w:rFonts w:eastAsia="Times New Roman" w:cs="Times New Roman"/>
          <w:szCs w:val="20"/>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noProof/>
          <w:szCs w:val="20"/>
          <w:u w:val="single"/>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Attorney’s fees allowed pursuant to subsection (A) must be limited to a reasonable time expended at a reasonable rate.  Factors to be applied in determining a reasonable rate include</w:t>
      </w:r>
      <w:r>
        <w:rPr>
          <w:rFonts w:eastAsia="Times New Roman" w:cs="Times New Roman"/>
          <w:noProof/>
          <w:szCs w:val="20"/>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zCs w:val="20"/>
          <w:u w:val="single"/>
        </w:rPr>
      </w:pPr>
      <w:r>
        <w:rPr>
          <w:rFonts w:eastAsia="Times New Roman" w:cs="Times New Roman"/>
          <w:noProof/>
          <w:szCs w:val="20"/>
        </w:rPr>
        <w:tab/>
      </w:r>
      <w:r>
        <w:rPr>
          <w:rFonts w:eastAsia="Times New Roman" w:cs="Times New Roman"/>
          <w:noProof/>
          <w:szCs w:val="20"/>
        </w:rPr>
        <w:tab/>
      </w:r>
      <w:r>
        <w:rPr>
          <w:rFonts w:eastAsia="Times New Roman" w:cs="Times New Roman"/>
          <w:noProof/>
          <w:szCs w:val="20"/>
          <w:u w:val="single"/>
        </w:rPr>
        <w:t>(</w:t>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the nature, extent, and difficulty of the case;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the time devoted;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the professional standing of counsel;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the beneficial results obtained;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(5)</w:t>
      </w:r>
      <w:r>
        <w:rPr>
          <w:rFonts w:eastAsia="Times New Roman" w:cs="Times New Roman"/>
          <w:szCs w:val="20"/>
        </w:rPr>
        <w:tab/>
      </w:r>
      <w:r>
        <w:rPr>
          <w:rFonts w:eastAsia="Times New Roman" w:cs="Times New Roman"/>
          <w:szCs w:val="20"/>
          <w:u w:val="single"/>
        </w:rPr>
        <w:t>the customary legal fees for similar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u w:val="single"/>
        </w:rPr>
        <w:t>The judge must make specific written findings regarding each factor listed above in making the award of attorney’s fees.  However, in no event shall a prevailing party be allowed to shift attorney’s fees pursuant to this section that exceed the fees the party has contracted to pay counsel for work on the litigation.  The provisions of this subsection do not apply to an attorney’s  fees award paid to an attorney representing a landowner in a condemnation proceeding as provided for in Sections 28-2-510  or 57-5-320.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(C)</w:t>
      </w:r>
      <w:r>
        <w:rPr>
          <w:rFonts w:eastAsia="Times New Roman" w:cs="Times New Roman"/>
          <w:szCs w:val="20"/>
        </w:rPr>
        <w:tab/>
        <w:t>The provisions of this section do not apply to civil actions relating to the establishment of public utility rates, disciplinary actions by state licensing boards, habeas corpus or post conviction relief actions, child support actions, except as otherwise provided for herein, and child abuse and neglect actions.”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9373DC-E8AF-4457-BC65-64EC7B5BBE6E}"/>
    <w:embedBold r:id="rId2" w:fontKey="{D415D567-DFD2-40F3-9674-3D1B51A9D812}"/>
  </w:font>
  <w:font w:name="Calibri">
    <w:panose1 w:val="020F0502020204030204"/>
    <w:charset w:val="00"/>
    <w:family w:val="swiss"/>
    <w:pitch w:val="variable"/>
    <w:sig w:usb0="A00002EF" w:usb1="4000207B" w:usb2="00000000" w:usb3="00000000" w:csb0="0000009F" w:csb1="00000000"/>
    <w:embedRegular r:id="rId3" w:fontKey="{5BE6955D-91B7-4BAC-8527-1F537B3B4453}"/>
  </w:font>
  <w:font w:name="Tahoma">
    <w:panose1 w:val="020B0604030504040204"/>
    <w:charset w:val="00"/>
    <w:family w:val="swiss"/>
    <w:pitch w:val="variable"/>
    <w:sig w:usb0="61002A87" w:usb1="80000000" w:usb2="00000008" w:usb3="00000000" w:csb0="000101FF" w:csb1="00000000"/>
    <w:embedRegular r:id="rId4" w:fontKey="{37DB86F4-A439-4B26-8607-F0D57FB4F4AC}"/>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5AD47CC0-F921-40B1-899E-5AED9AF7665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[186]</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379</Words>
  <Characters>2162</Characters>
  <Application>Microsoft Office Word</Application>
  <DocSecurity>0</DocSecurity>
  <Lines>18</Lines>
  <Paragraphs>5</Paragraphs>
  <ScaleCrop>false</ScaleCrop>
  <Company>Project Management</Company>
  <LinksUpToDate>false</LinksUpToDate>
  <CharactersWithSpaces>2536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2008-12-17T19:40:00Z</dcterms:created>
  <dcterms:modified xsi:type="dcterms:W3CDTF">2008-12-17T19:40:00Z</dcterms:modified>
</cp:coreProperties>
</file>