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FC351A" w:rsidRDefault="00FC351A" w:rsidP="00FC351A">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193</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3/11/09--S.</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193) </w:t>
      </w:r>
      <w:r w:rsidRPr="00FC351A">
        <w:rPr>
          <w:rFonts w:eastAsia="Calibri" w:cs="Times New Roman"/>
        </w:rPr>
        <w:t>to amend Section 12</w:t>
      </w:r>
      <w:r w:rsidRPr="00FC351A">
        <w:rPr>
          <w:rFonts w:cs="Times New Roman"/>
        </w:rPr>
        <w:noBreakHyphen/>
      </w:r>
      <w:r w:rsidRPr="00FC351A">
        <w:rPr>
          <w:rFonts w:eastAsia="Calibri" w:cs="Times New Roman"/>
        </w:rPr>
        <w:t>43</w:t>
      </w:r>
      <w:r w:rsidRPr="00FC351A">
        <w:rPr>
          <w:rFonts w:cs="Times New Roman"/>
        </w:rPr>
        <w:noBreakHyphen/>
      </w:r>
      <w:r w:rsidRPr="00FC351A">
        <w:rPr>
          <w:rFonts w:eastAsia="Calibri" w:cs="Times New Roman"/>
        </w:rPr>
        <w:t>220, as amended, Code of Laws of South Carolina, 1976, relating to valuation and classification of property for purposes of the property</w:t>
      </w:r>
      <w:r>
        <w:rPr>
          <w:rFonts w:eastAsia="Times New Roman" w:cs="Times New Roman"/>
        </w:rPr>
        <w:t>, etc., respectfully</w:t>
      </w: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 xml:space="preserve">Amend the bill, as and if amended, page 2, by striking lines 19 </w:t>
      </w:r>
      <w:r w:rsidRPr="00D92BF3">
        <w:rPr>
          <w:rFonts w:eastAsia="Times New Roman" w:cs="Times New Roman"/>
          <w:snapToGrid w:val="0"/>
          <w:szCs w:val="20"/>
        </w:rPr>
        <w:noBreakHyphen/>
        <w:t>34 in their entirety.</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Amend the bill further, as and if amended by striking SECTION 3 in its entirety and inserting:</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D92BF3">
        <w:rPr>
          <w:rFonts w:eastAsia="Times New Roman" w:cs="Times New Roman"/>
          <w:snapToGrid w:val="0"/>
          <w:szCs w:val="20"/>
        </w:rPr>
        <w:t>/</w:t>
      </w:r>
      <w:r w:rsidRPr="00D92BF3">
        <w:rPr>
          <w:rFonts w:eastAsia="Times New Roman" w:cs="Times New Roman"/>
          <w:snapToGrid w:val="0"/>
          <w:szCs w:val="20"/>
        </w:rPr>
        <w:tab/>
      </w:r>
      <w:r w:rsidRPr="00D92BF3">
        <w:rPr>
          <w:rFonts w:eastAsia="Times New Roman" w:cs="Times New Roman"/>
          <w:snapToGrid w:val="0"/>
          <w:szCs w:val="20"/>
        </w:rPr>
        <w:tab/>
        <w:t>SECTION</w:t>
      </w:r>
      <w:r w:rsidRPr="00D92BF3">
        <w:rPr>
          <w:rFonts w:eastAsia="Times New Roman" w:cs="Times New Roman"/>
          <w:snapToGrid w:val="0"/>
          <w:szCs w:val="20"/>
        </w:rPr>
        <w:tab/>
        <w:t>3.</w:t>
      </w:r>
      <w:r w:rsidRPr="00D92BF3">
        <w:rPr>
          <w:rFonts w:eastAsia="Times New Roman" w:cs="Times New Roman"/>
          <w:snapToGrid w:val="0"/>
          <w:szCs w:val="20"/>
        </w:rPr>
        <w:tab/>
        <w:t>This act takes effect upon approval by the Governor and applies to property tax years beginning after December 31, 2008.</w:t>
      </w:r>
      <w:r w:rsidRPr="00D92BF3">
        <w:rPr>
          <w:rFonts w:eastAsia="Times New Roman" w:cs="Times New Roman"/>
          <w:snapToGrid w:val="0"/>
          <w:szCs w:val="20"/>
        </w:rPr>
        <w:tab/>
      </w:r>
      <w:r w:rsidRPr="00D92BF3">
        <w:rPr>
          <w:rFonts w:eastAsia="Times New Roman" w:cs="Times New Roman"/>
          <w:snapToGrid w:val="0"/>
          <w:szCs w:val="20"/>
        </w:rPr>
        <w:tab/>
      </w:r>
      <w:r w:rsidRPr="00D92BF3">
        <w:rPr>
          <w:rFonts w:eastAsia="Times New Roman" w:cs="Times New Roman"/>
          <w:snapToGrid w:val="0"/>
          <w:szCs w:val="20"/>
        </w:rPr>
        <w:tab/>
        <w:t>/</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Renumber sections to conform.</w:t>
      </w:r>
    </w:p>
    <w:p w:rsid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Amend title to conform.</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FC351A" w:rsidRDefault="00FC351A" w:rsidP="00FC351A">
      <w:pPr>
        <w:tabs>
          <w:tab w:val="left" w:pos="3024"/>
        </w:tabs>
        <w:suppressAutoHyphens/>
        <w:rPr>
          <w:rFonts w:eastAsia="Times New Roman" w:cs="Times New Roman"/>
        </w:rPr>
      </w:pPr>
      <w:r>
        <w:rPr>
          <w:rFonts w:eastAsia="Times New Roman" w:cs="Times New Roman"/>
        </w:rPr>
        <w:t>Majority favorable.</w:t>
      </w:r>
      <w:r>
        <w:rPr>
          <w:rFonts w:eastAsia="Times New Roman" w:cs="Times New Roman"/>
        </w:rPr>
        <w:tab/>
        <w:t>Minority unfavorable.</w:t>
      </w:r>
    </w:p>
    <w:p w:rsidR="00FC351A" w:rsidRDefault="00FC351A" w:rsidP="00FC351A">
      <w:pPr>
        <w:tabs>
          <w:tab w:val="left" w:pos="3024"/>
        </w:tabs>
        <w:suppressAutoHyphens/>
        <w:rPr>
          <w:rFonts w:eastAsia="Times New Roman" w:cs="Times New Roman"/>
        </w:rPr>
      </w:pPr>
      <w:r>
        <w:rPr>
          <w:rFonts w:eastAsia="Times New Roman" w:cs="Times New Roman"/>
        </w:rPr>
        <w:t>HUGH K. LEATHERMAN, SR.</w:t>
      </w:r>
      <w:r>
        <w:rPr>
          <w:rFonts w:eastAsia="Times New Roman" w:cs="Times New Roman"/>
        </w:rPr>
        <w:tab/>
        <w:t>PHIL P. LEVENTIS</w:t>
      </w:r>
    </w:p>
    <w:p w:rsidR="00FC351A" w:rsidRDefault="00FC351A" w:rsidP="00FC351A">
      <w:pPr>
        <w:tabs>
          <w:tab w:val="left" w:pos="3024"/>
        </w:tabs>
        <w:suppressAutoHyphens/>
        <w:rPr>
          <w:rFonts w:eastAsia="Times New Roman" w:cs="Times New Roman"/>
        </w:rPr>
      </w:pPr>
      <w:r>
        <w:rPr>
          <w:rFonts w:eastAsia="Times New Roman" w:cs="Times New Roman"/>
        </w:rPr>
        <w:t>For Majority.</w:t>
      </w:r>
      <w:r>
        <w:rPr>
          <w:rFonts w:eastAsia="Times New Roman" w:cs="Times New Roman"/>
        </w:rPr>
        <w:tab/>
        <w:t>For Minority.</w:t>
      </w: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7C5F7F">
        <w:rPr>
          <w:b/>
        </w:rPr>
        <w:t xml:space="preserve">REVENUE IMPACT </w:t>
      </w:r>
      <w:r w:rsidRPr="007C5F7F">
        <w:rPr>
          <w:b/>
          <w:vertAlign w:val="superscript"/>
        </w:rPr>
        <w:t>1/</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5F7F">
        <w:t xml:space="preserve">Local property taxes would be reduced by an estimated $450,000 as a result of homes currently receiving a 6.0% assessment ratio getting the 4.0% owner-occupied assessment ratio and the retroactive nature of this bill.  Expenditures from the Homestead Exemption Fund will be increased by $370,000 to </w:t>
      </w:r>
      <w:r w:rsidRPr="007C5F7F">
        <w:lastRenderedPageBreak/>
        <w:t>reimburse these additional homes that will qualify for the 4.0% assessment ratio.</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7C5F7F">
        <w:rPr>
          <w:b/>
        </w:rPr>
        <w:t>Explanation</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5F7F">
        <w:t xml:space="preserve">Under current law, owner occupied homes are assessed at 4.0% for property tax purposes.  All other homes are assessed at 6.0% for property tax purposes.  Also, under current law, an owner-occupied home can be rented out for less than fifteen days and still get the 4.0% assessment ratio.  This bill would allow the home to keep the 4.0% assessment ratio if it is not rented for more than ninety days in a calendar year. This bill applies to property tax years beginning after 2004.  Homes that will now qualify for the 4.0% assessment ratio because of this bill will be eligible for refunds or credits for property taxes paid from tax year 2005 and forward.  Based on conversations with the Charleston </w:t>
      </w:r>
      <w:r>
        <w:t>C</w:t>
      </w:r>
      <w:r w:rsidRPr="007C5F7F">
        <w:t xml:space="preserve">ounty </w:t>
      </w:r>
      <w:r>
        <w:t>A</w:t>
      </w:r>
      <w:r w:rsidRPr="007C5F7F">
        <w:t>ssessor’s office and other county offices, we estimate local property taxes will be reduced by $450,000 as a result of homes currently receiving a 6.0% assessment ratio getting the 4.0% owner-occupied assessment ratio.  Expenditures from the Homestead Exemption Fund will be increased by $370,000 to reimburse these additional homes that will qualify for the 4.0% assessment ratio.</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rsidP="00FC351A">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FC351A" w:rsidRDefault="00FC351A" w:rsidP="00FC351A">
      <w:pPr>
        <w:tabs>
          <w:tab w:val="left" w:pos="3024"/>
        </w:tabs>
        <w:suppressAutoHyphens/>
        <w:rPr>
          <w:rFonts w:eastAsia="Times New Roman" w:cs="Times New Roman"/>
        </w:rPr>
      </w:pPr>
      <w:r>
        <w:rPr>
          <w:rFonts w:eastAsia="Times New Roman" w:cs="Times New Roman"/>
        </w:rPr>
        <w:tab/>
        <w:t>William C. Gillespie</w:t>
      </w:r>
    </w:p>
    <w:p w:rsidR="00FC351A" w:rsidRPr="00FC351A" w:rsidRDefault="00FC351A" w:rsidP="00FC351A">
      <w:pPr>
        <w:tabs>
          <w:tab w:val="left" w:pos="3024"/>
        </w:tabs>
        <w:suppressAutoHyphens/>
        <w:rPr>
          <w:rFonts w:eastAsia="Times New Roman" w:cs="Times New Roman"/>
        </w:rPr>
      </w:pPr>
      <w:r>
        <w:rPr>
          <w:rFonts w:eastAsia="Times New Roman" w:cs="Times New Roman"/>
        </w:rPr>
        <w:tab/>
        <w:t>Board of Economic Advisors</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C351A" w:rsidRP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C351A" w:rsidRPr="00FC351A" w:rsidSect="00FC35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 TAX, SO AS TO PROVIDE THAT THE OWNER</w:t>
      </w:r>
      <w:r>
        <w:rPr>
          <w:rFonts w:cs="Times New Roman"/>
        </w:rPr>
        <w:noBreakHyphen/>
      </w:r>
      <w:r>
        <w:rPr>
          <w:rFonts w:eastAsia="Calibri" w:cs="Times New Roman"/>
        </w:rPr>
        <w:t>OCCUPANT OF RESIDENTIAL PROPERTY QUALIFIES FOR THE FOUR PERCENT ASSESSMENT RATIO ALLOWED OWNER</w:t>
      </w:r>
      <w:r>
        <w:rPr>
          <w:rFonts w:cs="Times New Roman"/>
        </w:rPr>
        <w:noBreakHyphen/>
      </w:r>
      <w:r>
        <w:rPr>
          <w:rFonts w:eastAsia="Calibri" w:cs="Times New Roman"/>
        </w:rPr>
        <w:t>OCCUPIED RESIDENTIAL PROPERTY, IF THE OWNER IS OTHERWISE QUALIFIED AND THE RESIDENCE IS NOT RENTED FOR MORE THAN NINETY DAYS A YEAR; TO ALLOW REFUNDS OR CREDITS TO OWNER</w:t>
      </w:r>
      <w:r>
        <w:rPr>
          <w:rFonts w:cs="Times New Roman"/>
        </w:rPr>
        <w:noBreakHyphen/>
      </w:r>
      <w:r>
        <w:rPr>
          <w:rFonts w:eastAsia="Calibri" w:cs="Times New Roman"/>
        </w:rPr>
        <w:t>OCCUPANTS WHO QUALIFY FOR THE FOUR PERCENT ASSESSMENT RATIO DUE TO THE AMENDMENTS CONTAINED HEREIN; TO DELETE OTHER REFERENCES TO RENTAL OF THESE RESIDENCES; AND TO AMEND SECTION 12</w:t>
      </w:r>
      <w:r>
        <w:rPr>
          <w:rFonts w:cs="Times New Roman"/>
        </w:rPr>
        <w:noBreakHyphen/>
      </w:r>
      <w:r>
        <w:rPr>
          <w:rFonts w:eastAsia="Calibri" w:cs="Times New Roman"/>
        </w:rPr>
        <w:t>54</w:t>
      </w:r>
      <w:r>
        <w:rPr>
          <w:rFonts w:cs="Times New Roman"/>
        </w:rPr>
        <w:noBreakHyphen/>
      </w:r>
      <w:r>
        <w:rPr>
          <w:rFonts w:eastAsia="Calibri" w:cs="Times New Roman"/>
        </w:rPr>
        <w:t>240 RELATING TO DISCLOSURE OF RECORDS, REPORTS, AND RETURNS WITH THE DEPARTMENT OF REVENUE, SO AS TO PROVIDE THAT VERIFICATION THAT THE FEDERAL SCHEDULE E CONFORMS WITH THE SAME DOCUMENT REQUIRED BY A COUNTY ASSESSOR IS NOT PROHIBITED.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FC351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A.</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220(c)(2)(iv) of the 1976 Code is amended by adding a new paragraph before the last undesignated paragraph to read: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If the owner or the owner</w:t>
      </w:r>
      <w:r>
        <w:rPr>
          <w:rFonts w:cs="Times New Roman"/>
        </w:rPr>
        <w:t>’</w:t>
      </w:r>
      <w:r>
        <w:rPr>
          <w:rFonts w:eastAsia="Calibri" w:cs="Times New Roman"/>
        </w:rPr>
        <w:t xml:space="preserve">s agent has made a proper certificate as required pursuant to this subitem and the owner is otherwise eligible, the owner is deemed to have met the burden of proof and </w:t>
      </w:r>
      <w:r>
        <w:rPr>
          <w:rFonts w:eastAsia="Calibri" w:cs="Times New Roman"/>
        </w:rPr>
        <w:lastRenderedPageBreak/>
        <w:t xml:space="preserve">is allowed the four percent assessment ratio allowed by this item, if the residence that is the subject of the application is </w:t>
      </w:r>
      <w:r>
        <w:rPr>
          <w:rFonts w:eastAsia="Calibri" w:cs="Times New Roman"/>
        </w:rPr>
        <w:tab/>
        <w:t>not rented for more than ninety days in a calendar year.  The assessor may require a copy of Schedule E from the applicant</w:t>
      </w:r>
      <w:r>
        <w:rPr>
          <w:rFonts w:cs="Times New Roman"/>
        </w:rPr>
        <w:t>’</w:t>
      </w:r>
      <w:r>
        <w:rPr>
          <w:rFonts w:eastAsia="Calibri" w:cs="Times New Roman"/>
        </w:rPr>
        <w:t>s federal return for the applicable tax year.</w:t>
      </w:r>
      <w:r>
        <w:rPr>
          <w:rFonts w:cs="Times New Roman"/>
        </w:rPr>
        <w:t>”</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B.</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last amended by Act 145 of 2005, is further amended by deleting subitem (7) which reads:</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(7)</w:t>
      </w:r>
      <w:r>
        <w:rPr>
          <w:rFonts w:eastAsia="Calibri" w:cs="Times New Roman"/>
        </w:rPr>
        <w:tab/>
        <w:t>Notwithstanding any other provision of law, the owner</w:t>
      </w:r>
      <w:r>
        <w:rPr>
          <w:rFonts w:cs="Times New Roman"/>
        </w:rPr>
        <w:noBreakHyphen/>
      </w:r>
      <w:r>
        <w:rPr>
          <w:rFonts w:eastAsia="Calibri" w:cs="Times New Roman"/>
        </w:rPr>
        <w:t>occupant of a legal residence is not disqualified from receiving the four percent assessment ratio allowed by this item, if the taxpayer</w:t>
      </w:r>
      <w:r>
        <w:rPr>
          <w:rFonts w:cs="Times New Roman"/>
        </w:rPr>
        <w:t>’</w:t>
      </w:r>
      <w:r>
        <w:rPr>
          <w:rFonts w:eastAsia="Calibri" w:cs="Times New Roman"/>
        </w:rPr>
        <w:t>s residence meets the requirements of Internal Revenue Code Section 280A(g) as defined in Section 12</w:t>
      </w:r>
      <w:r>
        <w:rPr>
          <w:rFonts w:cs="Times New Roman"/>
        </w:rPr>
        <w:noBreakHyphen/>
      </w:r>
      <w:r>
        <w:rPr>
          <w:rFonts w:eastAsia="Calibri" w:cs="Times New Roman"/>
        </w:rPr>
        <w:t>6</w:t>
      </w:r>
      <w:r>
        <w:rPr>
          <w:rFonts w:cs="Times New Roman"/>
        </w:rPr>
        <w:noBreakHyphen/>
      </w:r>
      <w:r>
        <w:rPr>
          <w:rFonts w:eastAsia="Calibri" w:cs="Times New Roman"/>
        </w:rPr>
        <w:t>40(A) and the taxpayer otherwise is eligible to receive the four percent assessment ratio.</w:t>
      </w:r>
      <w:r>
        <w:rPr>
          <w:rFonts w:cs="Times New Roman"/>
        </w:rPr>
        <w:t>”</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C.</w:t>
      </w:r>
      <w:r>
        <w:rPr>
          <w:rFonts w:eastAsia="Calibri" w:cs="Times New Roman"/>
        </w:rPr>
        <w:tab/>
        <w:t>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220(c)(2) and (7) contained in this section apply for property tax years beginning after 2004.</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D.</w:t>
      </w:r>
      <w:r>
        <w:rPr>
          <w:rFonts w:eastAsia="Calibri" w:cs="Times New Roman"/>
        </w:rPr>
        <w:tab/>
      </w:r>
      <w:r>
        <w:rPr>
          <w:rFonts w:eastAsia="Calibri" w:cs="Times New Roman"/>
        </w:rPr>
        <w:tab/>
        <w:t>A taxpayer allowed the four percent assessment ratio for property tax years subsequent to 2004 because of 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contained in this section, instead of other provisions of law applicable for refunds of overpayments of property taxes, and upon application to the county assessor must either:</w:t>
      </w: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receive a refund of the overpayment, together with applicable interest or, at the taxpayer</w:t>
      </w:r>
      <w:r>
        <w:rPr>
          <w:rFonts w:cs="Times New Roman"/>
        </w:rPr>
        <w:t>’</w:t>
      </w:r>
      <w:r>
        <w:rPr>
          <w:rFonts w:eastAsia="Calibri" w:cs="Times New Roman"/>
        </w:rPr>
        <w:t>s election;</w:t>
      </w: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be allowed a credit in the same amount as the refund pursuant to item (1) against future property taxes due on the residence.</w:t>
      </w: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 claim for refund made pursuant to this subsection before July 1, 2011, is deemed timely filed.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12</w:t>
      </w:r>
      <w:r>
        <w:rPr>
          <w:rFonts w:cs="Times New Roman"/>
        </w:rPr>
        <w:noBreakHyphen/>
      </w:r>
      <w:r>
        <w:rPr>
          <w:rFonts w:eastAsia="Calibri" w:cs="Times New Roman"/>
        </w:rPr>
        <w:t>54</w:t>
      </w:r>
      <w:r>
        <w:rPr>
          <w:rFonts w:cs="Times New Roman"/>
        </w:rPr>
        <w:noBreakHyphen/>
      </w:r>
      <w:r>
        <w:rPr>
          <w:rFonts w:eastAsia="Calibri" w:cs="Times New Roman"/>
        </w:rPr>
        <w:t>240(B) of the 1976 Code is amended by adding an appropriately numbered item at the end to read: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 )</w:t>
      </w:r>
      <w:r>
        <w:rPr>
          <w:rFonts w:eastAsia="Calibri" w:cs="Times New Roman"/>
        </w:rPr>
        <w:tab/>
        <w:t>verification that the federal Schedule E filed with the department is the same as the Schedule E required by the assessor pursuant to Section 12</w:t>
      </w:r>
      <w:r>
        <w:rPr>
          <w:rFonts w:cs="Times New Roman"/>
        </w:rPr>
        <w:noBreakHyphen/>
      </w:r>
      <w:r>
        <w:rPr>
          <w:rFonts w:eastAsia="Calibri" w:cs="Times New Roman"/>
        </w:rPr>
        <w:t>43</w:t>
      </w:r>
      <w:r>
        <w:rPr>
          <w:rFonts w:cs="Times New Roman"/>
        </w:rPr>
        <w:noBreakHyphen/>
      </w:r>
      <w:r>
        <w:rPr>
          <w:rFonts w:eastAsia="Calibri" w:cs="Times New Roman"/>
        </w:rPr>
        <w:t>220(C).</w:t>
      </w:r>
      <w:r>
        <w:rPr>
          <w:rFonts w:cs="Times New Roman"/>
        </w:rPr>
        <w:t>”</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SECTION</w:t>
      </w:r>
      <w:r>
        <w:rPr>
          <w:rFonts w:eastAsia="Calibri" w:cs="Times New Roman"/>
        </w:rPr>
        <w:tab/>
        <w:t>3.</w:t>
      </w:r>
      <w:r>
        <w:rPr>
          <w:rFonts w:eastAsia="Calibri" w:cs="Times New Roman"/>
        </w:rPr>
        <w:tab/>
        <w:t>Except where otherwise stated, this act takes effect upon approval by the Governor.</w:t>
      </w:r>
    </w:p>
    <w:p w:rsidR="00ED637F" w:rsidRDefault="00FC351A" w:rsidP="00381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D637F" w:rsidSect="00FC35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37F" w:rsidRDefault="00ED637F" w:rsidP="00ED637F">
      <w:r>
        <w:separator/>
      </w:r>
    </w:p>
  </w:endnote>
  <w:endnote w:type="continuationSeparator" w:id="1">
    <w:p w:rsidR="00ED637F" w:rsidRDefault="00ED637F" w:rsidP="00ED6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6D8136-2B52-4CE9-AD96-23469AB5FAA3}"/>
    <w:embedBold r:id="rId2" w:fontKey="{799231D9-4D28-49F9-9119-43DBA139A755}"/>
    <w:embedItalic r:id="rId3" w:fontKey="{6EBA8E31-AD68-43DC-ADE2-D70FFD4B32B8}"/>
  </w:font>
  <w:font w:name="Calibri">
    <w:panose1 w:val="020F0502020204030204"/>
    <w:charset w:val="00"/>
    <w:family w:val="swiss"/>
    <w:pitch w:val="variable"/>
    <w:sig w:usb0="A00002EF" w:usb1="4000207B" w:usb2="00000000" w:usb3="00000000" w:csb0="0000009F" w:csb1="00000000"/>
    <w:embedRegular r:id="rId4" w:fontKey="{BF51738B-542D-4FC7-BFAF-C91C560C8219}"/>
    <w:embedBold r:id="rId5" w:fontKey="{0BD987D8-653D-486F-9BEC-B225C3B4D28F}"/>
  </w:font>
  <w:font w:name="Tahoma">
    <w:panose1 w:val="020B0604030504040204"/>
    <w:charset w:val="00"/>
    <w:family w:val="swiss"/>
    <w:pitch w:val="variable"/>
    <w:sig w:usb0="61002A87" w:usb1="80000000" w:usb2="00000008" w:usb3="00000000" w:csb0="000101FF" w:csb1="00000000"/>
    <w:embedRegular r:id="rId6" w:fontKey="{7A8711F3-3D35-4EFD-BD7E-F021DD1678D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8DA64F2-5CD3-4032-BD4C-FBF09D7457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37F" w:rsidRDefault="00FC351A">
    <w:pPr>
      <w:pStyle w:val="Footer"/>
      <w:tabs>
        <w:tab w:val="clear" w:pos="4680"/>
        <w:tab w:val="clear" w:pos="9360"/>
        <w:tab w:val="center" w:pos="2995"/>
      </w:tabs>
      <w:spacing w:before="120"/>
    </w:pPr>
    <w:r>
      <w:t>[193-</w:t>
    </w:r>
    <w:fldSimple w:instr=" PAGE  \* MERGEFORMAT ">
      <w:r w:rsidR="00381B4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51A" w:rsidRDefault="00FC351A">
    <w:pPr>
      <w:pStyle w:val="Footer"/>
      <w:tabs>
        <w:tab w:val="clear" w:pos="4680"/>
        <w:tab w:val="clear" w:pos="9360"/>
        <w:tab w:val="center" w:pos="2995"/>
      </w:tabs>
      <w:spacing w:before="120"/>
    </w:pPr>
    <w:r>
      <w:t>[193]</w:t>
    </w:r>
    <w:r>
      <w:tab/>
    </w:r>
    <w:fldSimple w:instr=" PAGE  \* MERGEFORMAT ">
      <w:r w:rsidR="00381B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37F" w:rsidRDefault="00ED637F" w:rsidP="00ED637F">
      <w:r>
        <w:separator/>
      </w:r>
    </w:p>
  </w:footnote>
  <w:footnote w:type="continuationSeparator" w:id="1">
    <w:p w:rsidR="00ED637F" w:rsidRDefault="00ED637F" w:rsidP="00ED63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D637F"/>
    <w:rsid w:val="00381B45"/>
    <w:rsid w:val="004C072B"/>
    <w:rsid w:val="006D02B8"/>
    <w:rsid w:val="00BC2E98"/>
    <w:rsid w:val="00CF7977"/>
    <w:rsid w:val="00ED637F"/>
    <w:rsid w:val="00FC35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D63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D637F"/>
    <w:rPr>
      <w:szCs w:val="21"/>
    </w:rPr>
  </w:style>
  <w:style w:type="character" w:customStyle="1" w:styleId="PlainTextChar">
    <w:name w:val="Plain Text Char"/>
    <w:basedOn w:val="DefaultParagraphFont"/>
    <w:link w:val="PlainText"/>
    <w:uiPriority w:val="99"/>
    <w:rsid w:val="00ED637F"/>
    <w:rPr>
      <w:szCs w:val="21"/>
    </w:rPr>
  </w:style>
  <w:style w:type="paragraph" w:styleId="BodyText">
    <w:name w:val="Body Text"/>
    <w:basedOn w:val="Normal"/>
    <w:link w:val="BodyTextChar"/>
    <w:uiPriority w:val="99"/>
    <w:locked/>
    <w:rsid w:val="00ED637F"/>
  </w:style>
  <w:style w:type="character" w:customStyle="1" w:styleId="BodyTextChar">
    <w:name w:val="Body Text Char"/>
    <w:basedOn w:val="DefaultParagraphFont"/>
    <w:link w:val="BodyText"/>
    <w:uiPriority w:val="99"/>
    <w:rsid w:val="00ED637F"/>
  </w:style>
  <w:style w:type="paragraph" w:styleId="BalloonText">
    <w:name w:val="Balloon Text"/>
    <w:next w:val="Normal"/>
    <w:link w:val="BalloonTextChar"/>
    <w:uiPriority w:val="99"/>
    <w:unhideWhenUsed/>
    <w:rsid w:val="00ED637F"/>
    <w:rPr>
      <w:rFonts w:cs="Tahoma"/>
      <w:szCs w:val="16"/>
    </w:rPr>
  </w:style>
  <w:style w:type="character" w:customStyle="1" w:styleId="BalloonTextChar">
    <w:name w:val="Balloon Text Char"/>
    <w:basedOn w:val="DefaultParagraphFont"/>
    <w:link w:val="BalloonText"/>
    <w:uiPriority w:val="99"/>
    <w:rsid w:val="00ED637F"/>
    <w:rPr>
      <w:rFonts w:cs="Tahoma"/>
      <w:szCs w:val="16"/>
    </w:rPr>
  </w:style>
  <w:style w:type="paragraph" w:styleId="NormalWeb">
    <w:name w:val="Normal (Web)"/>
    <w:basedOn w:val="Normal"/>
    <w:next w:val="Normal"/>
    <w:semiHidden/>
    <w:locked/>
    <w:rsid w:val="00ED637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D637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D637F"/>
    <w:rPr>
      <w:rFonts w:cs="Times New Roman"/>
    </w:rPr>
  </w:style>
  <w:style w:type="character" w:styleId="LineNumber">
    <w:name w:val="line number"/>
    <w:basedOn w:val="DefaultParagraphFont"/>
    <w:uiPriority w:val="99"/>
    <w:semiHidden/>
    <w:unhideWhenUsed/>
    <w:locked/>
    <w:rsid w:val="00FC351A"/>
  </w:style>
  <w:style w:type="paragraph" w:styleId="Header">
    <w:name w:val="header"/>
    <w:basedOn w:val="Normal"/>
    <w:link w:val="HeaderChar"/>
    <w:uiPriority w:val="99"/>
    <w:semiHidden/>
    <w:unhideWhenUsed/>
    <w:locked/>
    <w:rsid w:val="00FC351A"/>
    <w:pPr>
      <w:tabs>
        <w:tab w:val="center" w:pos="4680"/>
        <w:tab w:val="right" w:pos="9360"/>
      </w:tabs>
    </w:pPr>
  </w:style>
  <w:style w:type="character" w:customStyle="1" w:styleId="HeaderChar">
    <w:name w:val="Header Char"/>
    <w:basedOn w:val="DefaultParagraphFont"/>
    <w:link w:val="Header"/>
    <w:uiPriority w:val="99"/>
    <w:semiHidden/>
    <w:rsid w:val="00FC351A"/>
  </w:style>
  <w:style w:type="character" w:styleId="FollowedHyperlink">
    <w:name w:val="FollowedHyperlink"/>
    <w:basedOn w:val="DefaultParagraphFont"/>
    <w:uiPriority w:val="99"/>
    <w:semiHidden/>
    <w:unhideWhenUsed/>
    <w:locked/>
    <w:rsid w:val="004C07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1020</Words>
  <Characters>5224</Characters>
  <Application>Microsoft Office Word</Application>
  <DocSecurity>0</DocSecurity>
  <Lines>163</Lines>
  <Paragraphs>52</Paragraphs>
  <ScaleCrop>false</ScaleCrop>
  <Company>Project Management</Company>
  <LinksUpToDate>false</LinksUpToDate>
  <CharactersWithSpaces>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2009-03-11T22:30:00Z</dcterms:created>
  <dcterms:modified xsi:type="dcterms:W3CDTF">2009-03-11T22:30:00Z</dcterms:modified>
</cp:coreProperties>
</file>