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38</w:t>
      </w:r>
      <w:r>
        <w:rPr>
          <w:rFonts w:eastAsia="Times New Roman" w:cs="Times New Roman"/>
          <w:szCs w:val="20"/>
        </w:rPr>
        <w:noBreakHyphen/>
        <w:t>1</w:t>
      </w:r>
      <w:r>
        <w:rPr>
          <w:rFonts w:eastAsia="Times New Roman" w:cs="Times New Roman"/>
          <w:szCs w:val="20"/>
        </w:rPr>
        <w:noBreakHyphen/>
        <w:t>20, AS AMENDED, CODE OF LAWS OF SOUTH CAROLINA, 1976, RELATING TO DEFINITIONS USED IN TITLE 38 RELATING TO THE DEPARTMENT OF INSURANCE, SO AS TO AMEND THE DEFINITION OF “ADMITTED ASSETS” TO INCLUDE THOSE ON THE INSURER’S MOST RECENT STATUTORY FINANCIAL STATEMENT FILED WITH THE DEPARTMENT OF INSURANCE PURSUANT TO THE PROVISIONS OF SECTION 38</w:t>
      </w:r>
      <w:r>
        <w:rPr>
          <w:rFonts w:eastAsia="Times New Roman" w:cs="Times New Roman"/>
          <w:szCs w:val="20"/>
        </w:rPr>
        <w:noBreakHyphen/>
        <w:t>13</w:t>
      </w:r>
      <w:r>
        <w:rPr>
          <w:rFonts w:eastAsia="Times New Roman" w:cs="Times New Roman"/>
          <w:szCs w:val="20"/>
        </w:rPr>
        <w:noBreakHyphen/>
        <w:t>80 INSTEAD OF THOSE ADMITTED UNDER THE PROVISIONS OF SECTION 38</w:t>
      </w:r>
      <w:r>
        <w:rPr>
          <w:rFonts w:eastAsia="Times New Roman" w:cs="Times New Roman"/>
          <w:szCs w:val="20"/>
        </w:rPr>
        <w:noBreakHyphen/>
        <w:t>11</w:t>
      </w:r>
      <w:r>
        <w:rPr>
          <w:rFonts w:eastAsia="Times New Roman" w:cs="Times New Roman"/>
          <w:szCs w:val="20"/>
        </w:rPr>
        <w:noBreakHyphen/>
        <w:t>100; TO AMEND SECTION 38</w:t>
      </w:r>
      <w:r>
        <w:rPr>
          <w:rFonts w:eastAsia="Times New Roman" w:cs="Times New Roman"/>
          <w:szCs w:val="20"/>
        </w:rPr>
        <w:noBreakHyphen/>
        <w:t>9</w:t>
      </w:r>
      <w:r>
        <w:rPr>
          <w:rFonts w:eastAsia="Times New Roman" w:cs="Times New Roman"/>
          <w:szCs w:val="20"/>
        </w:rPr>
        <w:noBreakHyphen/>
        <w:t>10, RELATING TO CAPITAL AND SURPLUS REQUIRED OF STOCK INSURERS, SO AS TO CHANGE THE MARKETABLE SECURITIES THAT MAY BE REQUIRED BY THE DIRECTOR OF INSURANCE; TO AMEND SECTION 38</w:t>
      </w:r>
      <w:r>
        <w:rPr>
          <w:rFonts w:eastAsia="Times New Roman" w:cs="Times New Roman"/>
          <w:szCs w:val="20"/>
        </w:rPr>
        <w:noBreakHyphen/>
        <w:t>9</w:t>
      </w:r>
      <w:r>
        <w:rPr>
          <w:rFonts w:eastAsia="Times New Roman" w:cs="Times New Roman"/>
          <w:szCs w:val="20"/>
        </w:rPr>
        <w:noBreakHyphen/>
        <w:t>20, RELATING TO THE SURPLUS REQUIRED OF MUTUAL INSURERS, SO AS TO CHANGE THE MARKETABLE SECURITIES WHICH MAY BE REQUIRED BY THE DIRECTOR OF INSURANCE; TO AMEND SECTION 38</w:t>
      </w:r>
      <w:r>
        <w:rPr>
          <w:rFonts w:eastAsia="Times New Roman" w:cs="Times New Roman"/>
          <w:szCs w:val="20"/>
        </w:rPr>
        <w:noBreakHyphen/>
        <w:t>9</w:t>
      </w:r>
      <w:r>
        <w:rPr>
          <w:rFonts w:eastAsia="Times New Roman" w:cs="Times New Roman"/>
          <w:szCs w:val="20"/>
        </w:rPr>
        <w:noBreakHyphen/>
        <w:t>210, RELATING TO THE REDUCTION FROM LIABILITY FOR THE REINSURANCE CEDED BY A DOMESTIC INSURER, SO AS TO CHANGE THE SECURITIES LISTED THAT QUALIFY AS SECURITY; TO AMEND SECTION 38</w:t>
      </w:r>
      <w:r>
        <w:rPr>
          <w:rFonts w:eastAsia="Times New Roman" w:cs="Times New Roman"/>
          <w:szCs w:val="20"/>
        </w:rPr>
        <w:noBreakHyphen/>
        <w:t>10</w:t>
      </w:r>
      <w:r>
        <w:rPr>
          <w:rFonts w:eastAsia="Times New Roman" w:cs="Times New Roman"/>
          <w:szCs w:val="20"/>
        </w:rPr>
        <w:noBreakHyphen/>
        <w:t>40, RELATING TO THE PROTECTED CELL ASSETS OF A PROTECTED CELL, SO AS TO CHANGE A CODE REFERENCE; TO AMEND SECTION 38</w:t>
      </w:r>
      <w:r>
        <w:rPr>
          <w:rFonts w:eastAsia="Times New Roman" w:cs="Times New Roman"/>
          <w:szCs w:val="20"/>
        </w:rPr>
        <w:noBreakHyphen/>
        <w:t>33</w:t>
      </w:r>
      <w:r>
        <w:rPr>
          <w:rFonts w:eastAsia="Times New Roman" w:cs="Times New Roman"/>
          <w:szCs w:val="20"/>
        </w:rP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rPr>
          <w:rFonts w:eastAsia="Times New Roman" w:cs="Times New Roman"/>
          <w:szCs w:val="20"/>
        </w:rPr>
        <w:noBreakHyphen/>
        <w:t>55</w:t>
      </w:r>
      <w:r>
        <w:rPr>
          <w:rFonts w:eastAsia="Times New Roman" w:cs="Times New Roman"/>
          <w:szCs w:val="20"/>
        </w:rPr>
        <w:noBreakHyphen/>
        <w:t xml:space="preserve">80, RELATING TO LOANS TO DIRECTORS OR OFFICERS BY AN INSURER, SO AS TO CHANGE A CODE REFERENCE.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38</w:t>
      </w:r>
      <w:r>
        <w:rPr>
          <w:rFonts w:eastAsia="Times New Roman" w:cs="Times New Roman"/>
          <w:szCs w:val="20"/>
        </w:rPr>
        <w:noBreakHyphen/>
        <w:t>1</w:t>
      </w:r>
      <w:r>
        <w:rPr>
          <w:rFonts w:eastAsia="Times New Roman" w:cs="Times New Roman"/>
          <w:szCs w:val="20"/>
        </w:rPr>
        <w:noBreakHyphen/>
        <w:t>20(4)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“(4)</w:t>
      </w:r>
      <w:r>
        <w:rPr>
          <w:rFonts w:eastAsia="Times New Roman" w:cs="Times New Roman"/>
          <w:szCs w:val="20"/>
        </w:rPr>
        <w:tab/>
      </w:r>
      <w:r>
        <w:rPr>
          <w:rFonts w:eastAsia="Times New Roman" w:cs="Times New Roman"/>
          <w:szCs w:val="24"/>
        </w:rPr>
        <w:t xml:space="preserve">‘Admitted assets’ means assets of an insurer considered admitted </w:t>
      </w:r>
      <w:r>
        <w:rPr>
          <w:rFonts w:eastAsia="Times New Roman" w:cs="Times New Roman"/>
          <w:strike/>
          <w:szCs w:val="24"/>
        </w:rPr>
        <w:t>under Section 38</w:t>
      </w:r>
      <w:r>
        <w:rPr>
          <w:rFonts w:eastAsia="Times New Roman" w:cs="Times New Roman"/>
          <w:strike/>
          <w:szCs w:val="24"/>
        </w:rPr>
        <w:noBreakHyphen/>
        <w:t>11</w:t>
      </w:r>
      <w:r>
        <w:rPr>
          <w:rFonts w:eastAsia="Times New Roman" w:cs="Times New Roman"/>
          <w:strike/>
          <w:szCs w:val="24"/>
        </w:rPr>
        <w:noBreakHyphen/>
        <w:t>100</w:t>
      </w:r>
      <w:r>
        <w:rPr>
          <w:rFonts w:eastAsia="Times New Roman" w:cs="Times New Roman"/>
          <w:szCs w:val="24"/>
        </w:rPr>
        <w:t xml:space="preserve"> </w:t>
      </w:r>
      <w:r>
        <w:rPr>
          <w:rFonts w:eastAsia="Times New Roman" w:cs="Times New Roman"/>
          <w:szCs w:val="24"/>
          <w:u w:val="single"/>
        </w:rPr>
        <w:t>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SECTION</w:t>
      </w:r>
      <w:r>
        <w:rPr>
          <w:rFonts w:eastAsia="Times New Roman" w:cs="Times New Roman"/>
          <w:szCs w:val="24"/>
        </w:rPr>
        <w:tab/>
        <w:t>2.</w:t>
      </w:r>
      <w:r>
        <w:rPr>
          <w:rFonts w:eastAsia="Times New Roman" w:cs="Times New Roman"/>
          <w:szCs w:val="24"/>
        </w:rPr>
        <w:tab/>
        <w:t>Section 38</w:t>
      </w:r>
      <w:r>
        <w:rPr>
          <w:rFonts w:eastAsia="Times New Roman" w:cs="Times New Roman"/>
          <w:szCs w:val="24"/>
        </w:rPr>
        <w:noBreakHyphen/>
        <w:t>9</w:t>
      </w:r>
      <w:r>
        <w:rPr>
          <w:rFonts w:eastAsia="Times New Roman" w:cs="Times New Roman"/>
          <w:szCs w:val="24"/>
        </w:rPr>
        <w:noBreakHyphen/>
        <w:t>10(A)(2)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“(2)</w:t>
      </w:r>
      <w:r>
        <w:rPr>
          <w:rFonts w:eastAsia="Times New Roman" w:cs="Times New Roman"/>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rFonts w:eastAsia="Times New Roman" w:cs="Times New Roman"/>
          <w:strike/>
          <w:szCs w:val="24"/>
        </w:rPr>
        <w:t>which are eligible investments under Section 38</w:t>
      </w:r>
      <w:r>
        <w:rPr>
          <w:rFonts w:eastAsia="Times New Roman" w:cs="Times New Roman"/>
          <w:strike/>
          <w:szCs w:val="24"/>
        </w:rPr>
        <w:noBreakHyphen/>
        <w:t>11</w:t>
      </w:r>
      <w:r>
        <w:rPr>
          <w:rFonts w:eastAsia="Times New Roman" w:cs="Times New Roman"/>
          <w:strike/>
          <w:szCs w:val="24"/>
        </w:rPr>
        <w:noBreakHyphen/>
        <w:t>40</w:t>
      </w:r>
      <w:r>
        <w:rPr>
          <w:rFonts w:eastAsia="Times New Roman" w:cs="Times New Roman"/>
          <w:szCs w:val="24"/>
        </w:rPr>
        <w:t xml:space="preserve"> </w:t>
      </w:r>
      <w:r>
        <w:rPr>
          <w:rFonts w:eastAsia="Times New Roman" w:cs="Times New Roman"/>
          <w:szCs w:val="24"/>
          <w:u w:val="single"/>
        </w:rPr>
        <w:t>that qualify as admitted assets on the insurer’s most recent statutory financial statement filed with the department pursuant to Section 38</w:t>
      </w:r>
      <w:r>
        <w:rPr>
          <w:rFonts w:eastAsia="Times New Roman" w:cs="Times New Roman"/>
          <w:szCs w:val="24"/>
          <w:u w:val="single"/>
        </w:rPr>
        <w:noBreakHyphen/>
        <w:t>13</w:t>
      </w:r>
      <w:r>
        <w:rPr>
          <w:rFonts w:eastAsia="Times New Roman" w:cs="Times New Roman"/>
          <w:szCs w:val="24"/>
          <w:u w:val="single"/>
        </w:rPr>
        <w:noBreakHyphen/>
        <w:t>80</w:t>
      </w:r>
      <w:r>
        <w:rPr>
          <w:rFonts w:eastAsia="Times New Roman" w:cs="Times New Roman"/>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20(A)(2)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director or his designee may require additional initial surplus based on the type or nature of business transacted, and the initial surplus of the insurer must consist of cash or marketable securities </w:t>
      </w:r>
      <w:r>
        <w:rPr>
          <w:rFonts w:eastAsia="Times New Roman" w:cs="Times New Roman"/>
          <w:strike/>
          <w:szCs w:val="20"/>
        </w:rPr>
        <w:t>which are eligible investments under Section 38</w:t>
      </w:r>
      <w:r>
        <w:rPr>
          <w:rFonts w:eastAsia="Times New Roman" w:cs="Times New Roman"/>
          <w:strike/>
          <w:szCs w:val="20"/>
        </w:rPr>
        <w:noBreakHyphen/>
        <w:t>11</w:t>
      </w:r>
      <w:r>
        <w:rPr>
          <w:rFonts w:eastAsia="Times New Roman" w:cs="Times New Roman"/>
          <w:strike/>
          <w:szCs w:val="20"/>
        </w:rPr>
        <w:noBreakHyphen/>
        <w:t>40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38</w:t>
      </w:r>
      <w:r>
        <w:rPr>
          <w:rFonts w:eastAsia="Times New Roman" w:cs="Times New Roman"/>
          <w:szCs w:val="20"/>
        </w:rPr>
        <w:noBreakHyphen/>
        <w:t>9</w:t>
      </w:r>
      <w:r>
        <w:rPr>
          <w:rFonts w:eastAsia="Times New Roman" w:cs="Times New Roman"/>
          <w:szCs w:val="20"/>
        </w:rPr>
        <w:noBreakHyphen/>
        <w:t>210(2)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“(2)</w:t>
      </w:r>
      <w:r>
        <w:rPr>
          <w:rFonts w:eastAsia="Times New Roman" w:cs="Times New Roman"/>
          <w:szCs w:val="20"/>
        </w:rPr>
        <w:tab/>
        <w:t xml:space="preserve">securities listed by the Securities Valuation Office of the National Association of Insurance Commissioners </w:t>
      </w:r>
      <w:r>
        <w:rPr>
          <w:rFonts w:eastAsia="Times New Roman" w:cs="Times New Roman"/>
          <w:strike/>
          <w:szCs w:val="20"/>
        </w:rPr>
        <w:t>and qualifying as admitted assets under Section 38</w:t>
      </w:r>
      <w:r>
        <w:rPr>
          <w:rFonts w:eastAsia="Times New Roman" w:cs="Times New Roman"/>
          <w:strike/>
          <w:szCs w:val="20"/>
        </w:rPr>
        <w:noBreakHyphen/>
        <w:t>11</w:t>
      </w:r>
      <w:r>
        <w:rPr>
          <w:rFonts w:eastAsia="Times New Roman" w:cs="Times New Roman"/>
          <w:strike/>
          <w:szCs w:val="20"/>
        </w:rPr>
        <w:noBreakHyphen/>
        <w:t>100</w:t>
      </w:r>
      <w:r>
        <w:rPr>
          <w:rFonts w:eastAsia="Times New Roman" w:cs="Times New Roman"/>
          <w:szCs w:val="20"/>
        </w:rPr>
        <w:t xml:space="preserve"> </w:t>
      </w:r>
      <w:r>
        <w:rPr>
          <w:rFonts w:eastAsia="Times New Roman" w:cs="Times New Roman"/>
          <w:szCs w:val="20"/>
          <w:u w:val="single"/>
        </w:rPr>
        <w:t>that qualify as admitted assets on the insurer’s most recent statutory financial statement filed with the department pursuant to Section 38</w:t>
      </w:r>
      <w:r>
        <w:rPr>
          <w:rFonts w:eastAsia="Times New Roman" w:cs="Times New Roman"/>
          <w:szCs w:val="20"/>
          <w:u w:val="single"/>
        </w:rPr>
        <w:noBreakHyphen/>
        <w:t>13</w:t>
      </w:r>
      <w:r>
        <w:rPr>
          <w:rFonts w:eastAsia="Times New Roman" w:cs="Times New Roman"/>
          <w:szCs w:val="20"/>
          <w:u w:val="single"/>
        </w:rPr>
        <w:noBreakHyphen/>
        <w:t>80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38</w:t>
      </w:r>
      <w:r>
        <w:rPr>
          <w:rFonts w:eastAsia="Times New Roman" w:cs="Times New Roman"/>
          <w:szCs w:val="20"/>
        </w:rPr>
        <w:noBreakHyphen/>
        <w:t>10</w:t>
      </w:r>
      <w:r>
        <w:rPr>
          <w:rFonts w:eastAsia="Times New Roman" w:cs="Times New Roman"/>
          <w:szCs w:val="20"/>
        </w:rPr>
        <w:noBreakHyphen/>
        <w:t>40(B)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income, gains and losses, realized or unrealized, from protected cell assets and protected cell liabilities must be credited to or charged against the protected cell without regard to other income, gains or losses of the protected cell company, including income, gains or losses of other protected cells. Amounts attributed to any protected cell and accumulations on the attributed amounts may be invested and reinvested without regard to any requirements or limitations of </w:t>
      </w:r>
      <w:r>
        <w:rPr>
          <w:rFonts w:eastAsia="Times New Roman" w:cs="Times New Roman"/>
          <w:strike/>
          <w:szCs w:val="20"/>
        </w:rPr>
        <w:t>Sections 38</w:t>
      </w:r>
      <w:r>
        <w:rPr>
          <w:rFonts w:eastAsia="Times New Roman" w:cs="Times New Roman"/>
          <w:strike/>
          <w:szCs w:val="20"/>
        </w:rPr>
        <w:noBreakHyphen/>
        <w:t>11</w:t>
      </w:r>
      <w:r>
        <w:rPr>
          <w:rFonts w:eastAsia="Times New Roman" w:cs="Times New Roman"/>
          <w:strike/>
          <w:szCs w:val="20"/>
        </w:rPr>
        <w:noBreakHyphen/>
        <w:t>40 and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xml:space="preserve"> and the investments in a protected cell or cells may not be taken into account in applying the investment limitations otherwise applicable to the investments of the protected cell company.”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38</w:t>
      </w:r>
      <w:r>
        <w:rPr>
          <w:rFonts w:eastAsia="Times New Roman" w:cs="Times New Roman"/>
          <w:szCs w:val="20"/>
        </w:rPr>
        <w:noBreakHyphen/>
        <w:t>33</w:t>
      </w:r>
      <w:r>
        <w:rPr>
          <w:rFonts w:eastAsia="Times New Roman" w:cs="Times New Roman"/>
          <w:szCs w:val="20"/>
        </w:rPr>
        <w:noBreakHyphen/>
        <w:t>130(C)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Each health maintenance organization shall procure and maintain a policy of individual excess stop</w:t>
      </w:r>
      <w:r>
        <w:rPr>
          <w:rFonts w:eastAsia="Times New Roman" w:cs="Times New Roman"/>
          <w:szCs w:val="20"/>
        </w:rPr>
        <w:noBreakHyphen/>
        <w:t xml:space="preserve">loss coverage provided by an insurance company licensed by the state.  The policy </w:t>
      </w:r>
      <w:r>
        <w:rPr>
          <w:rFonts w:eastAsia="Times New Roman" w:cs="Times New Roman"/>
          <w:strike/>
          <w:szCs w:val="20"/>
        </w:rPr>
        <w:t>must</w:t>
      </w:r>
      <w:r>
        <w:rPr>
          <w:rFonts w:eastAsia="Times New Roman" w:cs="Times New Roman"/>
          <w:szCs w:val="20"/>
        </w:rPr>
        <w:t xml:space="preserve"> also </w:t>
      </w:r>
      <w:r>
        <w:rPr>
          <w:rFonts w:eastAsia="Times New Roman" w:cs="Times New Roman"/>
          <w:szCs w:val="20"/>
          <w:u w:val="single"/>
        </w:rPr>
        <w:t>must</w:t>
      </w:r>
      <w:r>
        <w:rPr>
          <w:rFonts w:eastAsia="Times New Roman" w:cs="Times New Roman"/>
          <w:szCs w:val="20"/>
        </w:rPr>
        <w:t xml:space="preserve"> include provisions to cover all incurred, unpaid claim liability in the event of the health maintenance organization’s termination due to insolvency or otherwise.  In addition, the director or his designee may require that the policy provide that the insurer will issue an individual </w:t>
      </w:r>
      <w:r>
        <w:rPr>
          <w:rFonts w:eastAsia="Times New Roman" w:cs="Times New Roman"/>
          <w:strike/>
          <w:szCs w:val="20"/>
        </w:rPr>
        <w:t>conversion</w:t>
      </w:r>
      <w:r>
        <w:rPr>
          <w:rFonts w:eastAsia="Times New Roman" w:cs="Times New Roman"/>
          <w:szCs w:val="20"/>
        </w:rPr>
        <w:t xml:space="preserve"> policy to any enrollee upon termination of the health maintenance organization or the enrollee’s ineligibility for further coverage in the health maintenance organization.  </w:t>
      </w:r>
      <w:r>
        <w:rPr>
          <w:rFonts w:eastAsia="Times New Roman" w:cs="Times New Roman"/>
          <w:strike/>
          <w:szCs w:val="20"/>
        </w:rPr>
        <w:t>Any such conversion policy must meet at least the minimum requirements of Section 38</w:t>
      </w:r>
      <w:r>
        <w:rPr>
          <w:rFonts w:eastAsia="Times New Roman" w:cs="Times New Roman"/>
          <w:strike/>
          <w:szCs w:val="20"/>
        </w:rPr>
        <w:noBreakHyphen/>
        <w:t>71</w:t>
      </w:r>
      <w:r>
        <w:rPr>
          <w:rFonts w:eastAsia="Times New Roman" w:cs="Times New Roman"/>
          <w:strike/>
          <w:szCs w:val="20"/>
        </w:rPr>
        <w:noBreakHyphen/>
        <w:t>770.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38</w:t>
      </w:r>
      <w:r>
        <w:rPr>
          <w:rFonts w:eastAsia="Times New Roman" w:cs="Times New Roman"/>
          <w:szCs w:val="20"/>
        </w:rPr>
        <w:noBreakHyphen/>
        <w:t>55</w:t>
      </w:r>
      <w:r>
        <w:rPr>
          <w:rFonts w:eastAsia="Times New Roman" w:cs="Times New Roman"/>
          <w:szCs w:val="20"/>
        </w:rPr>
        <w:noBreakHyphen/>
        <w:t>80(B)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 xml:space="preserve">This section does not prohibit an insurer in connection with the relocation of the place of employment of an officer, including any relocation in connection with the initial employment of the 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rFonts w:eastAsia="Times New Roman" w:cs="Times New Roman"/>
          <w:strike/>
          <w:szCs w:val="20"/>
        </w:rPr>
        <w:t>Section 38</w:t>
      </w:r>
      <w:r>
        <w:rPr>
          <w:rFonts w:eastAsia="Times New Roman" w:cs="Times New Roman"/>
          <w:strike/>
          <w:szCs w:val="20"/>
        </w:rPr>
        <w:noBreakHyphen/>
        <w:t>11</w:t>
      </w:r>
      <w:r>
        <w:rPr>
          <w:rFonts w:eastAsia="Times New Roman" w:cs="Times New Roman"/>
          <w:strike/>
          <w:szCs w:val="20"/>
        </w:rPr>
        <w:noBreakHyphen/>
        <w:t>50</w:t>
      </w:r>
      <w:r>
        <w:rPr>
          <w:rFonts w:eastAsia="Times New Roman" w:cs="Times New Roman"/>
          <w:szCs w:val="20"/>
        </w:rPr>
        <w:t xml:space="preserve"> </w:t>
      </w:r>
      <w:r>
        <w:rPr>
          <w:rFonts w:eastAsia="Times New Roman" w:cs="Times New Roman"/>
          <w:szCs w:val="20"/>
          <w:u w:val="single"/>
        </w:rPr>
        <w:t>Chapter 12 of this title</w:t>
      </w:r>
      <w:r>
        <w:rPr>
          <w:rFonts w:eastAsia="Times New Roman" w:cs="Times New Roman"/>
          <w:szCs w:val="20"/>
        </w:rPr>
        <w:t>.  In addition, this section does not prohibit an insurer from making a loan to its directors or officers if the loan is first approved in writing by the director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9B5751-062F-479B-A05E-C54052CA5D4D}"/>
    <w:embedBold r:id="rId2" w:fontKey="{9E0045E2-801F-488C-AF56-D6DAF6128C3C}"/>
  </w:font>
  <w:font w:name="Calibri">
    <w:panose1 w:val="020F0502020204030204"/>
    <w:charset w:val="00"/>
    <w:family w:val="swiss"/>
    <w:pitch w:val="variable"/>
    <w:sig w:usb0="A00002EF" w:usb1="4000207B" w:usb2="00000000" w:usb3="00000000" w:csb0="0000009F" w:csb1="00000000"/>
    <w:embedRegular r:id="rId3" w:fontKey="{3A9BD387-27FB-45CA-84AB-2696959ED787}"/>
  </w:font>
  <w:font w:name="Tahoma">
    <w:panose1 w:val="020B0604030504040204"/>
    <w:charset w:val="00"/>
    <w:family w:val="swiss"/>
    <w:pitch w:val="variable"/>
    <w:sig w:usb0="61002A87" w:usb1="80000000" w:usb2="00000008" w:usb3="00000000" w:csb0="000101FF" w:csb1="00000000"/>
    <w:embedRegular r:id="rId4" w:fontKey="{EF2C975C-9043-4F7F-B766-B83E0B2D420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F0F03FB8-53DD-49C9-9ABF-64E2D11F83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[202]</w:t>
    </w:r>
    <w:r>
      <w:tab/>
    </w:r>
    <w:fldSimple w:instr=" PAGE  \* MERGEFORMAT ">
      <w:r>
        <w:rPr>
          <w:noProof/>
        </w:rPr>
        <w:t>4</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869</Words>
  <Characters>4955</Characters>
  <Application>Microsoft Office Word</Application>
  <DocSecurity>0</DocSecurity>
  <Lines>41</Lines>
  <Paragraphs>11</Paragraphs>
  <ScaleCrop>false</ScaleCrop>
  <Company>Project Management</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2008-12-17T19:44:00Z</dcterms:created>
  <dcterms:modified xsi:type="dcterms:W3CDTF">2008-12-17T19:44:00Z</dcterms:modified>
</cp:coreProperties>
</file>