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t xml:space="preserve"> </w:t>
      </w:r>
      <w:r>
        <w:rPr>
          <w:rFonts w:cs="Times New Roman"/>
          <w:color w:val="000000" w:themeColor="text1"/>
          <w:u w:color="000000" w:themeColor="text1"/>
        </w:rPr>
        <w:t>TO AMEND CHAPTER 39 OF TITLE 34, CODE OF LAWS OF SOUTH CAROLINA, 1976, RELATING TO DEFERRED PRESENTMENT SERVICES BY ADDING TO SECTION 34</w:t>
      </w:r>
      <w:r>
        <w:rPr>
          <w:rFonts w:cs="Times New Roman"/>
          <w:color w:val="000000" w:themeColor="text1"/>
          <w:u w:color="000000" w:themeColor="text1"/>
        </w:rPr>
        <w:noBreakHyphen/>
        <w:t>39</w:t>
      </w:r>
      <w:r>
        <w:rPr>
          <w:rFonts w:cs="Times New Roman"/>
          <w:color w:val="000000" w:themeColor="text1"/>
          <w:u w:color="000000" w:themeColor="text1"/>
        </w:rPr>
        <w:noBreakHyphen/>
        <w:t>130, SO AS TO PROVIDE THAT PERSONS ENGAGING IN THE BUSINESS OF DEFERRED PRESENTMENT SERVICES MUST OBTAIN A LICENSE PURSUANT TO CHAPTER 39, TITLE 34; BY ADDING SECTION 34</w:t>
      </w:r>
      <w:r>
        <w:rPr>
          <w:rFonts w:cs="Times New Roman"/>
          <w:color w:val="000000" w:themeColor="text1"/>
          <w:u w:color="000000" w:themeColor="text1"/>
        </w:rPr>
        <w:noBreakHyphen/>
        <w:t>39</w:t>
      </w:r>
      <w:r>
        <w:rPr>
          <w:rFonts w:cs="Times New Roman"/>
          <w:color w:val="000000" w:themeColor="text1"/>
          <w:u w:color="000000" w:themeColor="text1"/>
        </w:rPr>
        <w:noBreakHyphen/>
        <w:t>175, SO AS TO ESTABLISH A DEFERRED PRESENTMENT TRANSACTION DATABASE; BY AMENDING SECTION 34</w:t>
      </w:r>
      <w:r>
        <w:rPr>
          <w:rFonts w:cs="Times New Roman"/>
          <w:color w:val="000000" w:themeColor="text1"/>
          <w:u w:color="000000" w:themeColor="text1"/>
        </w:rPr>
        <w:noBreakHyphen/>
        <w:t>39</w:t>
      </w:r>
      <w:r>
        <w:rPr>
          <w:rFonts w:cs="Times New Roman"/>
          <w:color w:val="000000" w:themeColor="text1"/>
          <w:u w:color="000000" w:themeColor="text1"/>
        </w:rPr>
        <w:noBreakHyphen/>
        <w:t>180, SO AS TO LIMIT THE AMOUNT ADVANCED TO A CUSTOMER FOR DEFERRED PRESENTMENT TO SIX HUNDRED DOLLARS; BY ADDING SECTION 34</w:t>
      </w:r>
      <w:r>
        <w:rPr>
          <w:rFonts w:cs="Times New Roman"/>
          <w:color w:val="000000" w:themeColor="text1"/>
          <w:u w:color="000000" w:themeColor="text1"/>
        </w:rPr>
        <w:noBreakHyphen/>
        <w:t>39</w:t>
      </w:r>
      <w:r>
        <w:rPr>
          <w:rFonts w:cs="Times New Roman"/>
          <w:color w:val="000000" w:themeColor="text1"/>
          <w:u w:color="000000" w:themeColor="text1"/>
        </w:rPr>
        <w:noBreakHyphen/>
        <w:t>270, SO AS TO ESTABLISH REGULATIONS FOR LICENSEES OF DEFERRED PRESENTMENT TRANSACTIONS; AND BY ADDING SECTION 34</w:t>
      </w:r>
      <w:r>
        <w:rPr>
          <w:rFonts w:cs="Times New Roman"/>
          <w:color w:val="000000" w:themeColor="text1"/>
          <w:u w:color="000000" w:themeColor="text1"/>
        </w:rPr>
        <w:noBreakHyphen/>
        <w:t>39</w:t>
      </w:r>
      <w:r>
        <w:rPr>
          <w:rFonts w:cs="Times New Roman"/>
          <w:color w:val="000000" w:themeColor="text1"/>
          <w:u w:color="000000" w:themeColor="text1"/>
        </w:rPr>
        <w:noBreakHyphen/>
        <w:t>280, SO AS TO DETERMINE PROVISIONS FOR DEFERRED PRESENTMENT EXTENDED PAYMENT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34-39-130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rPr>
        <w:t>SECTION</w:t>
      </w:r>
      <w:r>
        <w:rPr>
          <w:rFonts w:eastAsia="Times New Roman" w:cs="Times New Roman"/>
        </w:rPr>
        <w:tab/>
        <w:t>2.</w:t>
      </w:r>
      <w:r>
        <w:rPr>
          <w:rFonts w:eastAsia="Times New Roman" w:cs="Times New Roman"/>
        </w:rPr>
        <w:tab/>
      </w:r>
      <w:r>
        <w:t>Chapter 39 of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34-39-175.</w:t>
      </w:r>
      <w:r>
        <w:tab/>
        <w:t>(A)</w:t>
      </w:r>
      <w:r>
        <w:tab/>
        <w:t>In order to prevent any person from having more than one deferred presentment transaction at any one time, the Consumer Finance Division of the Board of Financial Institutions shall implement a common database with real-time access through an Internet connection for deferred presentment providers, as provided in this subsection.  The board is authorized to enter into a contract with a single-source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the transaction is closed, and additional information required by the board.  The database provider may impose the database verification fee authorized by Section 34-39-270(G) for data required to be submitted by a licensee.  The board may adopt procedures to administer and enforce the provisions of this section and to ensure that the database is used by licensees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information provided in the database is limited for the use in determining if a customer is eligible or ineligible to enter into a new deferred presentment transaction and to describe the reason for the determination of eligibility or ineligibility.”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34-39-180 (B)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4"/>
        </w:rPr>
        <w:tab/>
        <w:t>“(B)</w:t>
      </w:r>
      <w:r>
        <w:rPr>
          <w:rFonts w:eastAsia="Times New Roman" w:cs="Times New Roman"/>
          <w:szCs w:val="24"/>
        </w:rPr>
        <w:tab/>
      </w:r>
      <w:r>
        <w:rPr>
          <w:rFonts w:eastAsia="Times New Roman" w:cs="Times New Roman"/>
          <w:strike/>
          <w:szCs w:val="24"/>
        </w:rPr>
        <w:t>The face amount of a check taken for deferred presentment or deposit may not exceed three hundred dollars, exclusive of the fees allowed in Section 34</w:t>
      </w:r>
      <w:r>
        <w:rPr>
          <w:rFonts w:eastAsia="Times New Roman" w:cs="Times New Roman"/>
          <w:strike/>
          <w:szCs w:val="24"/>
        </w:rPr>
        <w:noBreakHyphen/>
        <w:t>39</w:t>
      </w:r>
      <w:r>
        <w:rPr>
          <w:rFonts w:eastAsia="Times New Roman" w:cs="Times New Roman"/>
          <w:strike/>
          <w:szCs w:val="24"/>
        </w:rPr>
        <w:noBreakHyphen/>
        <w:t>180(E).</w:t>
      </w:r>
      <w:r>
        <w:rPr>
          <w:rFonts w:eastAsia="Times New Roman" w:cs="Times New Roman"/>
          <w:szCs w:val="24"/>
        </w:rPr>
        <w:t xml:space="preserve">  </w:t>
      </w:r>
      <w:r>
        <w:t>T</w:t>
      </w:r>
      <w:r>
        <w:rPr>
          <w:u w:val="single"/>
        </w:rPr>
        <w:t>he total amount advanced to any customer for deferred presentment or deposit, exclusive of the fees allowed in Section 34-39-180(E), may not exceed six hundred dollars.</w:t>
      </w:r>
      <w:r>
        <w:t xml:space="preserve"> A licensee may not advance to a customer an amount for deferred presentment or deposit which causes this limit to be exceeded by that customer.”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34-39-270.</w:t>
      </w:r>
      <w:r>
        <w:tab/>
        <w:t>(A)</w:t>
      </w:r>
      <w:r>
        <w:tab/>
        <w:t>A licensee may not enter into a deferred presentment transaction with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who has an outstanding deferred presentment transaction with any licensee;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who has entered into an extended payment plan agreement with any licensee as provided in Section 34-39-280, which has not been paid in full or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Before entering into a deferred presentment transaction with a person, a licensee shall verify whether the person is eligible to enter into the transaction by accessing the deferred presentment transaction database established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board shall contract with a single third-party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third-party database provider.  The database must have real-time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licensee shall notify the database provider immediately when the licensee enters into a deferred presentment transaction.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one-half of the actual cost of the verification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licensee may rely on the information contained in the database as accurate and is not subject to any administrative penalty or civil liability as a result of relying on inaccurate information contained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34-39-280.</w:t>
      </w:r>
      <w:r>
        <w:tab/>
        <w:t>(A)</w:t>
      </w:r>
      <w:r>
        <w:tab/>
        <w:t>At the time of application or renewal of a license to engage in the business of deferred presentment, every licensee must provide to the Consumer Finance Division for approval an extended payment plan to be offered for any customer who is unable to repay a deferred presentment transaction when originally due.  No license may be granted unless the Consumer Finance Division approves an extended payment plan for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Consumer Finance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 customer enters into an extended repayment plan, the licensee must enter that information into the database established in Section 34-29-175, and the customer and any licensee is prohibited from entering into any subsequent deferred presentment transaction until repayment in full of the original deferred presentment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62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t>This act takes effect the later of either one hundred eighty days after signature of the Governor or at such time as the Board of Financial Institutions has a binding contract with a vendor for the database authorized in Section 34-39-175.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A90C48-5A76-4A83-BF93-1882D017A9FD}"/>
    <w:embedBold r:id="rId2" w:fontKey="{39B73C46-F971-4F94-8563-92924E6BE53E}"/>
  </w:font>
  <w:font w:name="Calibri">
    <w:panose1 w:val="020F0502020204030204"/>
    <w:charset w:val="00"/>
    <w:family w:val="swiss"/>
    <w:pitch w:val="variable"/>
    <w:sig w:usb0="A00002EF" w:usb1="4000207B" w:usb2="00000000" w:usb3="00000000" w:csb0="0000009F" w:csb1="00000000"/>
    <w:embedRegular r:id="rId3" w:fontKey="{0A5B90FC-C2F5-468A-A9C5-EBD6E1A9F167}"/>
  </w:font>
  <w:font w:name="Tahoma">
    <w:panose1 w:val="020B0604030504040204"/>
    <w:charset w:val="00"/>
    <w:family w:val="swiss"/>
    <w:pitch w:val="variable"/>
    <w:sig w:usb0="61002A87" w:usb1="80000000" w:usb2="00000008" w:usb3="00000000" w:csb0="000101FF" w:csb1="00000000"/>
    <w:embedRegular r:id="rId4" w:fontKey="{E550B628-BC72-43A7-AFE1-7FBDBA8A14B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A71BEF71-9B0F-4108-BAAB-087B503608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[279]</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1571</Words>
  <Characters>8956</Characters>
  <Application>Microsoft Office Word</Application>
  <DocSecurity>0</DocSecurity>
  <Lines>74</Lines>
  <Paragraphs>21</Paragraphs>
  <ScaleCrop>false</ScaleCrop>
  <Company>Project Management</Company>
  <LinksUpToDate>false</LinksUpToDate>
  <CharactersWithSpaces>10506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2009-01-15T16:32:00Z</dcterms:created>
  <dcterms:modified xsi:type="dcterms:W3CDTF">2009-01-15T16:32:00Z</dcterms:modified>
</cp:coreProperties>
</file>