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t>Indicates Matter Stricken</w:t>
      </w:r>
    </w:p>
    <w:p w:rsidR="009410AE" w:rsidRP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 11, 2009</w:t>
      </w: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10AE" w:rsidRPr="009410AE" w:rsidRDefault="009410AE" w:rsidP="009410AE">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301</w:t>
      </w: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10AE" w:rsidRDefault="009410AE" w:rsidP="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Malloy</w:t>
      </w: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3/11/09--S.</w:t>
      </w: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27, 2009.</w:t>
      </w:r>
    </w:p>
    <w:p w:rsidR="009410AE" w:rsidRPr="009410AE" w:rsidRDefault="009410AE" w:rsidP="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10AE" w:rsidRPr="009410AE" w:rsidRDefault="009410AE" w:rsidP="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BANKING AND INSURANCE</w:t>
      </w: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301) to amend the Code of Laws of South Carolina, 1976, by adding Sections 38</w:t>
      </w:r>
      <w:r>
        <w:rPr>
          <w:rFonts w:eastAsia="Times New Roman" w:cs="Times New Roman"/>
          <w:szCs w:val="20"/>
        </w:rPr>
        <w:noBreakHyphen/>
        <w:t>9</w:t>
      </w:r>
      <w:r>
        <w:rPr>
          <w:rFonts w:eastAsia="Times New Roman" w:cs="Times New Roman"/>
          <w:szCs w:val="20"/>
        </w:rPr>
        <w:noBreakHyphen/>
        <w:t>225 and 38</w:t>
      </w:r>
      <w:r>
        <w:rPr>
          <w:rFonts w:eastAsia="Times New Roman" w:cs="Times New Roman"/>
          <w:szCs w:val="20"/>
        </w:rPr>
        <w:noBreakHyphen/>
        <w:t>9</w:t>
      </w:r>
      <w:r>
        <w:rPr>
          <w:rFonts w:eastAsia="Times New Roman" w:cs="Times New Roman"/>
          <w:szCs w:val="20"/>
        </w:rPr>
        <w:noBreakHyphen/>
        <w:t>230 so as to enact provisions requiring certain insurers, etc., respectfully</w:t>
      </w:r>
    </w:p>
    <w:p w:rsidR="009410AE" w:rsidRPr="009410AE" w:rsidRDefault="009410AE" w:rsidP="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DAVID L. THOMAS for Committee.</w:t>
      </w:r>
    </w:p>
    <w:p w:rsidR="009410AE" w:rsidRPr="009410AE" w:rsidRDefault="009410AE" w:rsidP="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10AE" w:rsidRPr="009410AE" w:rsidRDefault="009410AE" w:rsidP="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u w:val="single"/>
        </w:rPr>
        <w:t>STATEMENT OF ESTIMATED FISCAL IMPACT</w:t>
      </w:r>
    </w:p>
    <w:p w:rsidR="009410AE" w:rsidRPr="00BE39A2" w:rsidRDefault="009410AE" w:rsidP="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E39A2">
        <w:t>ESTIMATED FISCAL IMPACT ON GENERAL FUND EXPENDITURES:</w:t>
      </w:r>
    </w:p>
    <w:p w:rsidR="009410AE" w:rsidRPr="00BE39A2" w:rsidRDefault="009410AE" w:rsidP="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BE39A2">
        <w:t>Minimal (Some additional costs expected but can be absorbed)</w:t>
      </w:r>
    </w:p>
    <w:p w:rsidR="009410AE" w:rsidRPr="00BE39A2" w:rsidRDefault="009410AE" w:rsidP="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E39A2">
        <w:t>ESTIMATED FISCAL IMPACT ON FEDERAL &amp; OTHER FUND EXPENDITURES:</w:t>
      </w:r>
    </w:p>
    <w:p w:rsidR="009410AE" w:rsidRPr="00BE39A2" w:rsidRDefault="009410AE" w:rsidP="009410AE">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BE39A2">
        <w:t>$0 (No additional expenditures or savings are expected)</w:t>
      </w:r>
      <w:bookmarkStart w:id="2" w:name="c"/>
      <w:bookmarkEnd w:id="2"/>
    </w:p>
    <w:p w:rsidR="009410AE" w:rsidRPr="00BE39A2" w:rsidRDefault="009410AE" w:rsidP="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E39A2">
        <w:rPr>
          <w:b/>
        </w:rPr>
        <w:t>EXPLANATION OF IMPACT:</w:t>
      </w:r>
    </w:p>
    <w:p w:rsidR="009410AE" w:rsidRPr="00BE39A2" w:rsidRDefault="009410AE" w:rsidP="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BE39A2">
        <w:rPr>
          <w:u w:val="single"/>
        </w:rPr>
        <w:t>Department of Insurance</w:t>
      </w:r>
    </w:p>
    <w:p w:rsidR="009410AE" w:rsidRPr="00BE39A2" w:rsidRDefault="009410AE" w:rsidP="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39A2">
        <w:t xml:space="preserve">The </w:t>
      </w:r>
      <w:r>
        <w:t>d</w:t>
      </w:r>
      <w:r w:rsidRPr="00BE39A2">
        <w:t xml:space="preserve">epartment states that the </w:t>
      </w:r>
      <w:r>
        <w:t>b</w:t>
      </w:r>
      <w:r w:rsidRPr="00BE39A2">
        <w:t xml:space="preserve">ill would have a minimal impact on the General Fund of the State or </w:t>
      </w:r>
      <w:r>
        <w:t>f</w:t>
      </w:r>
      <w:r w:rsidRPr="00BE39A2">
        <w:t xml:space="preserve">ederal and/or </w:t>
      </w:r>
      <w:r>
        <w:t>o</w:t>
      </w:r>
      <w:r w:rsidRPr="00BE39A2">
        <w:t xml:space="preserve">ther </w:t>
      </w:r>
      <w:r>
        <w:t>f</w:t>
      </w:r>
      <w:r w:rsidRPr="00BE39A2">
        <w:t>unds and could be absorbed within existing resources.</w:t>
      </w:r>
    </w:p>
    <w:p w:rsidR="009410AE" w:rsidRPr="00BE39A2" w:rsidRDefault="009410AE" w:rsidP="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39A2">
        <w:rPr>
          <w:u w:val="single"/>
        </w:rPr>
        <w:t>Budget and Control Board</w:t>
      </w:r>
    </w:p>
    <w:p w:rsidR="009410AE" w:rsidRPr="00BE39A2" w:rsidRDefault="009410AE" w:rsidP="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Pr>
          <w:i/>
        </w:rPr>
        <w:tab/>
      </w:r>
      <w:r w:rsidRPr="00BE39A2">
        <w:rPr>
          <w:i/>
        </w:rPr>
        <w:t xml:space="preserve">The </w:t>
      </w:r>
      <w:r>
        <w:rPr>
          <w:i/>
        </w:rPr>
        <w:t>b</w:t>
      </w:r>
      <w:r w:rsidRPr="00BE39A2">
        <w:rPr>
          <w:i/>
        </w:rPr>
        <w:t xml:space="preserve">oard indicates this </w:t>
      </w:r>
      <w:r>
        <w:rPr>
          <w:i/>
        </w:rPr>
        <w:t>b</w:t>
      </w:r>
      <w:r w:rsidRPr="00BE39A2">
        <w:rPr>
          <w:i/>
        </w:rPr>
        <w:t>ill will have no fiscal impact on the General Fund of the State or on federal and/or other funds.</w:t>
      </w:r>
    </w:p>
    <w:p w:rsidR="009410AE" w:rsidRPr="00BE39A2" w:rsidRDefault="009410AE" w:rsidP="009410A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39A2">
        <w:rPr>
          <w:u w:val="single"/>
        </w:rPr>
        <w:lastRenderedPageBreak/>
        <w:t>Administrative Law Court</w:t>
      </w:r>
    </w:p>
    <w:p w:rsidR="009410AE" w:rsidRPr="00BE39A2" w:rsidRDefault="009410AE" w:rsidP="009410A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39A2">
        <w:t xml:space="preserve">The </w:t>
      </w:r>
      <w:r>
        <w:t>c</w:t>
      </w:r>
      <w:r w:rsidRPr="00BE39A2">
        <w:t xml:space="preserve">ourt indicates that enactment of this </w:t>
      </w:r>
      <w:r>
        <w:t>b</w:t>
      </w:r>
      <w:r w:rsidRPr="00BE39A2">
        <w:t xml:space="preserve">ill will have no fiscal impact on the General Fund of the State, nor on </w:t>
      </w:r>
      <w:r>
        <w:t>f</w:t>
      </w:r>
      <w:r w:rsidRPr="00BE39A2">
        <w:t xml:space="preserve">ederal and/or </w:t>
      </w:r>
      <w:r>
        <w:t>o</w:t>
      </w:r>
      <w:r w:rsidRPr="00BE39A2">
        <w:t xml:space="preserve">ther </w:t>
      </w:r>
      <w:r>
        <w:t>f</w:t>
      </w:r>
      <w:r w:rsidRPr="00BE39A2">
        <w:t>unds.</w:t>
      </w:r>
    </w:p>
    <w:p w:rsidR="009410AE" w:rsidRPr="00BE39A2" w:rsidRDefault="009410AE" w:rsidP="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E39A2">
        <w:rPr>
          <w:b/>
        </w:rPr>
        <w:t>SPECIAL NOTES:</w:t>
      </w:r>
    </w:p>
    <w:p w:rsidR="009410AE" w:rsidRPr="00BE39A2" w:rsidRDefault="009410AE" w:rsidP="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sn"/>
      <w:bookmarkEnd w:id="4"/>
      <w:r>
        <w:rPr>
          <w:i/>
        </w:rPr>
        <w:tab/>
      </w:r>
      <w:r w:rsidRPr="00BE39A2">
        <w:rPr>
          <w:i/>
        </w:rPr>
        <w:t>The italicized portion of this impact indicates the items that have been revised.  For this impact, the revised constitutes information that was not available in the original impact.</w:t>
      </w: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10AE" w:rsidRDefault="009410AE" w:rsidP="009410AE">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9410AE" w:rsidRDefault="009410AE" w:rsidP="009410AE">
      <w:pPr>
        <w:tabs>
          <w:tab w:val="left" w:pos="3024"/>
        </w:tabs>
        <w:suppressAutoHyphens/>
        <w:rPr>
          <w:rFonts w:eastAsia="Times New Roman" w:cs="Times New Roman"/>
          <w:szCs w:val="20"/>
        </w:rPr>
      </w:pPr>
      <w:r>
        <w:rPr>
          <w:rFonts w:eastAsia="Times New Roman" w:cs="Times New Roman"/>
          <w:szCs w:val="20"/>
        </w:rPr>
        <w:tab/>
        <w:t>Harry Bell</w:t>
      </w:r>
    </w:p>
    <w:p w:rsidR="009410AE" w:rsidRPr="009410AE" w:rsidRDefault="009410AE" w:rsidP="009410AE">
      <w:pPr>
        <w:tabs>
          <w:tab w:val="left" w:pos="3024"/>
        </w:tabs>
        <w:suppressAutoHyphens/>
        <w:rPr>
          <w:rFonts w:eastAsia="Times New Roman" w:cs="Times New Roman"/>
          <w:szCs w:val="20"/>
        </w:rPr>
      </w:pPr>
      <w:r>
        <w:rPr>
          <w:rFonts w:eastAsia="Times New Roman" w:cs="Times New Roman"/>
          <w:szCs w:val="20"/>
        </w:rPr>
        <w:tab/>
        <w:t>Office of State Budget</w:t>
      </w: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9410AE" w:rsidSect="009410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THE CODE OF LAWS OF SOUTH CAROLINA, 1976, BY ADDING SECTIONS 38</w:t>
      </w:r>
      <w:r>
        <w:rPr>
          <w:rFonts w:eastAsia="Times New Roman" w:cs="Times New Roman"/>
          <w:szCs w:val="20"/>
        </w:rPr>
        <w:noBreakHyphen/>
        <w:t>9</w:t>
      </w:r>
      <w:r>
        <w:rPr>
          <w:rFonts w:eastAsia="Times New Roman" w:cs="Times New Roman"/>
          <w:szCs w:val="20"/>
        </w:rPr>
        <w:noBreakHyphen/>
        <w:t>225 AND 38</w:t>
      </w:r>
      <w:r>
        <w:rPr>
          <w:rFonts w:eastAsia="Times New Roman" w:cs="Times New Roman"/>
          <w:szCs w:val="20"/>
        </w:rPr>
        <w:noBreakHyphen/>
        <w:t>9</w:t>
      </w:r>
      <w:r>
        <w:rPr>
          <w:rFonts w:eastAsia="Times New Roman" w:cs="Times New Roman"/>
          <w:szCs w:val="20"/>
        </w:rPr>
        <w:noBreakHyphen/>
        <w:t>230 SO AS TO ENACT PROVISIONS REQUIRING CERTAIN INSURERS TO FILE A STATEMENT OF ACTUARIAL OPINION AND ACTUARIAL OPINION SUMMARY ANNUALLY AND PROVIDE FOR THE CONFIDENTIALITY OF THESE DOCUMENTS; TO AMEND SECTION 38</w:t>
      </w:r>
      <w:r>
        <w:rPr>
          <w:rFonts w:eastAsia="Times New Roman" w:cs="Times New Roman"/>
          <w:szCs w:val="20"/>
        </w:rPr>
        <w:noBreakHyphen/>
        <w:t>5</w:t>
      </w:r>
      <w:r>
        <w:rPr>
          <w:rFonts w:eastAsia="Times New Roman" w:cs="Times New Roman"/>
          <w:szCs w:val="20"/>
        </w:rPr>
        <w:noBreakHyphen/>
        <w:t>120, RELATING TO THE REVOCATION OR SUSPENSION OF LICENSE OF AN INSURER AND ITS OFFICERS AND AGENTS FOR THE PUBLICATION OF THE NOTICE, SO AS TO PROVIDE A PROCEDURE FOR AN AGGRIEVED INSURER TO REQUEST A HEARING BEFORE THE DIRECTOR OR HIS DESIGNEE AND PROVIDE RECOURSE THROUGH JUDICIAL REVIEW; TO AMEND SECTION 38</w:t>
      </w:r>
      <w:r>
        <w:rPr>
          <w:rFonts w:eastAsia="Times New Roman" w:cs="Times New Roman"/>
          <w:szCs w:val="20"/>
        </w:rPr>
        <w:noBreakHyphen/>
        <w:t>9</w:t>
      </w:r>
      <w:r>
        <w:rPr>
          <w:rFonts w:eastAsia="Times New Roman" w:cs="Times New Roman"/>
          <w:szCs w:val="20"/>
        </w:rPr>
        <w:noBreakHyphen/>
        <w:t>330, RELATING TO THE DEFINITION OF “COMPANY ACTION LEVEL EVENT”, SO AS TO REDEFINE THE TERM; AND TO AMEND SECTION 38</w:t>
      </w:r>
      <w:r>
        <w:rPr>
          <w:rFonts w:eastAsia="Times New Roman" w:cs="Times New Roman"/>
          <w:szCs w:val="20"/>
        </w:rPr>
        <w:noBreakHyphen/>
        <w:t>21</w:t>
      </w:r>
      <w:r>
        <w:rPr>
          <w:rFonts w:eastAsia="Times New Roman" w:cs="Times New Roman"/>
          <w:szCs w:val="20"/>
        </w:rPr>
        <w:noBreakHyphen/>
        <w:t>95, RELATING TO APPROVAL FOR ACQUISITION OF A DOMESTIC INSURER BY A CONTROLLING PRODUCER IN ANOTHER STATE, SO AS TO DELETE THE APPLICABILITY TO FOREIGN PRODUCERS AND CORRECT INCORRECT REFERENCES.</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9, Title 38 of the 1976 Code is amended by adding:</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0"/>
        </w:rPr>
        <w:tab/>
        <w:t>“Section 38</w:t>
      </w:r>
      <w:r>
        <w:rPr>
          <w:rFonts w:eastAsia="Times New Roman" w:cs="Times New Roman"/>
          <w:szCs w:val="20"/>
        </w:rPr>
        <w:noBreakHyphen/>
        <w:t>9</w:t>
      </w:r>
      <w:r>
        <w:rPr>
          <w:rFonts w:eastAsia="Times New Roman" w:cs="Times New Roman"/>
          <w:szCs w:val="20"/>
        </w:rPr>
        <w:noBreakHyphen/>
        <w:t>225.</w:t>
      </w:r>
      <w:r>
        <w:rPr>
          <w:rFonts w:eastAsia="Times New Roman" w:cs="Times New Roman"/>
          <w:szCs w:val="20"/>
        </w:rPr>
        <w:tab/>
      </w:r>
      <w:r>
        <w:rPr>
          <w:rFonts w:eastAsia="Times New Roman" w:cs="Times New Roman"/>
          <w:szCs w:val="20"/>
        </w:rPr>
        <w:tab/>
      </w:r>
      <w:r>
        <w:rPr>
          <w:rFonts w:cs="Times New Roman"/>
          <w:color w:val="000000" w:themeColor="text1"/>
          <w:u w:color="000000" w:themeColor="text1"/>
        </w:rPr>
        <w:t>(A)</w:t>
      </w:r>
      <w:r>
        <w:rPr>
          <w:rFonts w:cs="Times New Roman"/>
          <w:color w:val="000000" w:themeColor="text1"/>
          <w:u w:color="000000" w:themeColor="text1"/>
        </w:rPr>
        <w:tab/>
        <w:t xml:space="preserve">Each property and casualty insurance company doing business in this State, unless otherwise exempted by the director or his designee, shall submit annually the opinion of an actuary entitled ‘Statement of Actuarial Opinion’.  This </w:t>
      </w:r>
      <w:r>
        <w:rPr>
          <w:rFonts w:cs="Times New Roman"/>
          <w:color w:val="000000" w:themeColor="text1"/>
          <w:u w:color="000000" w:themeColor="text1"/>
        </w:rPr>
        <w:lastRenderedPageBreak/>
        <w:t>opinion must be filed in accordance with the appropriate NAIC Property and Casualty Annual Statement Instructions.</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(B)(1)</w:t>
      </w:r>
      <w:r>
        <w:rPr>
          <w:rFonts w:cs="Times New Roman"/>
          <w:color w:val="000000" w:themeColor="text1"/>
          <w:u w:color="000000" w:themeColor="text1"/>
        </w:rPr>
        <w:tab/>
        <w:t>Each property and casualty insurance company domiciled in this State that is required to submit a statement of Actuarial Opinion shall submit annually an Actuarial Opinion Summary, written by the company’s Appointed Actuary. This Actuarial Opinion Summary must be filed in accordance with the appropriate NAIC Property and Casualty Annual Statement Instructions and must be considered as a document supporting the Actuarial Opinion required in subsection (A).</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 xml:space="preserve">A company licensed but not domiciled in this State shall provide the Actuarial Opinion Summary upon request.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(C)(1)</w:t>
      </w:r>
      <w:r>
        <w:rPr>
          <w:rFonts w:cs="Times New Roman"/>
          <w:color w:val="000000" w:themeColor="text1"/>
          <w:u w:color="000000" w:themeColor="text1"/>
        </w:rPr>
        <w:tab/>
        <w:t xml:space="preserve"> An Actuarial Report and underlying workpapers as required by the appropriate NAIC Property and Casualty Annual Statement Instructions must be prepared to support each Actuarial Opinion.</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 xml:space="preserve"> If the insurance company fails to provide a supporting Actuarial Report or workpapers, or both, at the request of the director or his designee or the director or his designee determines that the supporting Actuarial Report or workpapers provided by the insurer is otherwise unacceptable to the director or his designee, the director or his designee may engage a qualified actuary at the expense of the insurer to review the opinion and the basis for the opinion and prepare the supporting Actuarial Report or workpapers, or both.</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The Appointed Actuary is not liable for damages to a person, other than the insurer and the director or his designee, for any act, error, omission, decision, or conduct with respect to the actuary’s opinion, except in cases of fraud or wilful misconduct on the part of the Appointed Actuary.</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38</w:t>
      </w:r>
      <w:r>
        <w:rPr>
          <w:rFonts w:cs="Times New Roman"/>
          <w:color w:val="000000" w:themeColor="text1"/>
          <w:u w:color="000000" w:themeColor="text1"/>
        </w:rPr>
        <w:noBreakHyphen/>
        <w:t>9</w:t>
      </w:r>
      <w:r>
        <w:rPr>
          <w:rFonts w:cs="Times New Roman"/>
          <w:color w:val="000000" w:themeColor="text1"/>
          <w:u w:color="000000" w:themeColor="text1"/>
        </w:rPr>
        <w:noBreakHyphen/>
        <w:t xml:space="preserve">230. </w:t>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The Statement of Actuarial Opinion must be provided with the Annual Statement in accordance with the appropriate NAIC Property and Casualty Annual Statement Instructions and must be treated as a public document.</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(B)(1)</w:t>
      </w:r>
      <w:r>
        <w:rPr>
          <w:rFonts w:cs="Times New Roman"/>
          <w:color w:val="000000" w:themeColor="text1"/>
          <w:u w:color="000000" w:themeColor="text1"/>
        </w:rPr>
        <w:tab/>
        <w:t xml:space="preserve"> Documents, materials, or other information in the possession or control of the department that are considered an Actuarial Report, workpapers, or Actuarial Opinion Summary provided in support of the opinion, and any other material provided by the company to the director or his designee in connection with the Actuarial Report, workpapers, or Actuarial Opinion Summary, are confidential by law and privileged, are exempt from disclosure under applicable law, are not subject to subpoena, and are not </w:t>
      </w:r>
      <w:r>
        <w:rPr>
          <w:rFonts w:cs="Times New Roman"/>
          <w:color w:val="000000" w:themeColor="text1"/>
          <w:u w:color="000000" w:themeColor="text1"/>
        </w:rPr>
        <w:lastRenderedPageBreak/>
        <w:t>subject to discovery or admissible in evidence in any private civil action.</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This provision may not be construed to limit the director or his designee’s authority to release the documents to the Actuarial Board for Counseling and Discipline so long as the material is required for the purpose of professional disciplinary proceedings and that the Actuarial Board for Counseling and Discipline establishes procedures satisfactory to the director or his designee for preserving the confidentiality of the documents, nor may this section be construed to limit the director or his designee’s authority to use the documents, materials, or other information in furtherance of a regulatory or legal action brought as part of the director or his designee’s official duties.</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Neither the director nor a person who received documents, materials, or other information while acting under the authority of the director is permitted or required to testify in a private civil action concerning confidential documents, materials, or information subject to subsection (B).</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In order to assist in the performance of the director’s duties, the director may:</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share documents, materials, or other information, including the confidential and privileged documents, materials, or information subject to subsection (B) with other state, federal, and international regulatory agencies, with the National Association of Insurance Commissioners and its affiliates and subsidiaries, and with state, federal, and international law enforcement authorities, provided that the recipient agrees to maintain the confidentiality and privileged status of the document, material, or other information and has the legal authority to maintain confidentiality;</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receive documents, materials, or information, including otherwise confidential and privileged documents, materials, or information, from the National Association of Insurance Commissioners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 and</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enter into agreements governing sharing and use of information consistent with subsections (B), (C), and (D).</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 xml:space="preserve">A waiver of an applicable privilege or a claim of confidentiality in the documents, materials, or information shall </w:t>
      </w:r>
      <w:r>
        <w:rPr>
          <w:rFonts w:cs="Times New Roman"/>
          <w:color w:val="000000" w:themeColor="text1"/>
          <w:u w:color="000000" w:themeColor="text1"/>
        </w:rPr>
        <w:lastRenderedPageBreak/>
        <w:t>not occur as a result of disclosure to the director under this section or as a result of sharing as authorized in subsection (D).”</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Section 38</w:t>
      </w:r>
      <w:r>
        <w:rPr>
          <w:rFonts w:cs="Times New Roman"/>
          <w:color w:val="000000" w:themeColor="text1"/>
          <w:u w:color="000000" w:themeColor="text1"/>
        </w:rPr>
        <w:noBreakHyphen/>
        <w:t>5</w:t>
      </w:r>
      <w:r>
        <w:rPr>
          <w:rFonts w:cs="Times New Roman"/>
          <w:color w:val="000000" w:themeColor="text1"/>
          <w:u w:color="000000" w:themeColor="text1"/>
        </w:rPr>
        <w:noBreakHyphen/>
        <w:t>120 of the 1976 Code is amended by adding at the end:</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The insurer may request a hearing on an order or a decision made by the director or his designee pursuant to the provisions of this title. The insurer or other parties must be served with notice of the hearing stating the time and place of the hearing and the grounds upon which the director based the order; the hearing must occur not less than ten days nor more than thirty days following the notice and must be conducted at the offices of the South Carolina Department of Insurance unless otherwise designated by the director. The director or his designee shall hold all hearings private unless the insurer requests a public hearing. After a hearing by the director or his designee, an order or a decision made, issued, or executed by the director or his designee is subject to review in accordance with Section 38</w:t>
      </w:r>
      <w:r>
        <w:rPr>
          <w:rFonts w:cs="Times New Roman"/>
          <w:color w:val="000000" w:themeColor="text1"/>
          <w:u w:color="000000" w:themeColor="text1"/>
        </w:rPr>
        <w:noBreakHyphen/>
        <w:t>3</w:t>
      </w:r>
      <w:r>
        <w:rPr>
          <w:rFonts w:cs="Times New Roman"/>
          <w:color w:val="000000" w:themeColor="text1"/>
          <w:u w:color="000000" w:themeColor="text1"/>
        </w:rPr>
        <w:noBreakHyphen/>
        <w:t>210 under the appellate procedures of the South Carolina Administrative Law Court, as provided by law.”</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3.</w:t>
      </w:r>
      <w:r>
        <w:rPr>
          <w:rFonts w:cs="Times New Roman"/>
          <w:color w:val="000000" w:themeColor="text1"/>
          <w:u w:color="000000" w:themeColor="text1"/>
        </w:rPr>
        <w:tab/>
        <w:t>Section 38</w:t>
      </w:r>
      <w:r>
        <w:rPr>
          <w:rFonts w:cs="Times New Roman"/>
          <w:color w:val="000000" w:themeColor="text1"/>
          <w:u w:color="000000" w:themeColor="text1"/>
        </w:rPr>
        <w:noBreakHyphen/>
        <w:t>9</w:t>
      </w:r>
      <w:r>
        <w:rPr>
          <w:rFonts w:cs="Times New Roman"/>
          <w:color w:val="000000" w:themeColor="text1"/>
          <w:u w:color="000000" w:themeColor="text1"/>
        </w:rPr>
        <w:noBreakHyphen/>
        <w:t>330(A) of the 1976 Code is amended to read:</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cs="Times New Roman"/>
          <w:color w:val="000000" w:themeColor="text1"/>
          <w:u w:color="000000" w:themeColor="text1"/>
        </w:rPr>
        <w:tab/>
        <w:t>“</w:t>
      </w:r>
      <w:r>
        <w:rPr>
          <w:rFonts w:eastAsia="Times New Roman" w:cs="Times New Roman"/>
          <w:szCs w:val="24"/>
        </w:rPr>
        <w:t>(A)</w:t>
      </w:r>
      <w:r>
        <w:rPr>
          <w:rFonts w:eastAsia="Times New Roman" w:cs="Times New Roman"/>
          <w:szCs w:val="24"/>
        </w:rPr>
        <w:tab/>
        <w:t xml:space="preserve"> A ‘Company Action Level Event’ includes any of the following events: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filing of an RBC Report which indicates that Total Adjusted Capital is greater than, or equal to, Regulatory Action Level RBC, but is less than Company Action Level RBC;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filing of an RBC Report which indicates that a life and health insurer has Total Adjusted Capital which is greater than, or equal to, its Company Action Level RBC, but is less than the product of its Authorized Control Level RBC and 2.5 and has a negative trend;  </w:t>
      </w:r>
      <w:r>
        <w:rPr>
          <w:rFonts w:eastAsia="Times New Roman" w:cs="Times New Roman"/>
          <w:strike/>
          <w:szCs w:val="24"/>
        </w:rPr>
        <w:t>or</w:t>
      </w:r>
      <w:r>
        <w:rPr>
          <w:rFonts w:eastAsia="Times New Roman" w:cs="Times New Roman"/>
          <w:szCs w:val="24"/>
        </w:rPr>
        <w:t xml:space="preserve">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 xml:space="preserve"> </w:t>
      </w:r>
      <w:r>
        <w:rPr>
          <w:rFonts w:eastAsia="Times New Roman" w:cs="Times New Roman"/>
          <w:szCs w:val="24"/>
          <w:u w:val="single"/>
        </w:rPr>
        <w:t>f</w:t>
      </w:r>
      <w:r>
        <w:rPr>
          <w:rFonts w:eastAsia="Times New Roman" w:cs="Times New Roman"/>
          <w:color w:val="000000" w:themeColor="text1"/>
          <w:u w:val="single" w:color="000000" w:themeColor="text1"/>
        </w:rPr>
        <w:t>iling of an RBC Report which indicates that a property and casualty insurer has Total Adjusted Capital which is greater than, or equal to, its Company Action Level RBC, but is less than the product of its Authorized Control Level RBC and 3.0 and triggers the trend test determined in accordance with the trend test calculation included in the NAIC Property and Casualty RBC instructions; or</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color w:val="000000" w:themeColor="text1"/>
          <w:u w:color="000000" w:themeColor="text1"/>
        </w:rPr>
        <w:lastRenderedPageBreak/>
        <w:tab/>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(4)</w:t>
      </w:r>
      <w:r>
        <w:rPr>
          <w:rFonts w:eastAsia="Times New Roman" w:cs="Times New Roman"/>
          <w:color w:val="000000" w:themeColor="text1"/>
          <w:u w:color="000000" w:themeColor="text1"/>
        </w:rPr>
        <w:tab/>
        <w:t xml:space="preserve"> </w:t>
      </w:r>
      <w:r>
        <w:rPr>
          <w:rFonts w:eastAsia="Times New Roman" w:cs="Times New Roman"/>
          <w:szCs w:val="24"/>
        </w:rPr>
        <w:t xml:space="preserve">issuance of an Adjusted RBC Report that indicates the event in </w:t>
      </w:r>
      <w:r>
        <w:rPr>
          <w:rFonts w:eastAsia="Times New Roman" w:cs="Times New Roman"/>
          <w:strike/>
          <w:szCs w:val="24"/>
        </w:rPr>
        <w:t>Section 38</w:t>
      </w:r>
      <w:r>
        <w:rPr>
          <w:rFonts w:eastAsia="Times New Roman" w:cs="Times New Roman"/>
          <w:strike/>
          <w:szCs w:val="24"/>
        </w:rPr>
        <w:noBreakHyphen/>
        <w:t>9</w:t>
      </w:r>
      <w:r>
        <w:rPr>
          <w:rFonts w:eastAsia="Times New Roman" w:cs="Times New Roman"/>
          <w:strike/>
          <w:szCs w:val="24"/>
        </w:rPr>
        <w:noBreakHyphen/>
        <w:t>330(A)</w:t>
      </w:r>
      <w:r>
        <w:rPr>
          <w:rFonts w:eastAsia="Times New Roman" w:cs="Times New Roman"/>
          <w:szCs w:val="24"/>
        </w:rPr>
        <w:t xml:space="preserve"> </w:t>
      </w:r>
      <w:r>
        <w:rPr>
          <w:rFonts w:eastAsia="Times New Roman" w:cs="Times New Roman"/>
          <w:szCs w:val="24"/>
          <w:u w:val="single"/>
        </w:rPr>
        <w:t>item</w:t>
      </w:r>
      <w:r>
        <w:rPr>
          <w:rFonts w:eastAsia="Times New Roman" w:cs="Times New Roman"/>
          <w:szCs w:val="24"/>
        </w:rPr>
        <w:t xml:space="preserve"> (1)</w:t>
      </w:r>
      <w:r>
        <w:rPr>
          <w:rFonts w:eastAsia="Times New Roman" w:cs="Times New Roman"/>
          <w:szCs w:val="24"/>
          <w:u w:val="single"/>
        </w:rPr>
        <w:t>,</w:t>
      </w:r>
      <w:r>
        <w:rPr>
          <w:rFonts w:eastAsia="Times New Roman" w:cs="Times New Roman"/>
          <w:szCs w:val="24"/>
        </w:rPr>
        <w:t xml:space="preserve"> </w:t>
      </w:r>
      <w:r>
        <w:rPr>
          <w:rFonts w:eastAsia="Times New Roman" w:cs="Times New Roman"/>
          <w:strike/>
          <w:szCs w:val="24"/>
        </w:rPr>
        <w:t>or</w:t>
      </w:r>
      <w:r>
        <w:rPr>
          <w:rFonts w:eastAsia="Times New Roman" w:cs="Times New Roman"/>
          <w:szCs w:val="24"/>
        </w:rPr>
        <w:t xml:space="preserve"> </w:t>
      </w:r>
      <w:r>
        <w:rPr>
          <w:rFonts w:eastAsia="Times New Roman" w:cs="Times New Roman"/>
          <w:strike/>
          <w:szCs w:val="24"/>
        </w:rPr>
        <w:t>(A)</w:t>
      </w:r>
      <w:r>
        <w:rPr>
          <w:rFonts w:eastAsia="Times New Roman" w:cs="Times New Roman"/>
          <w:szCs w:val="24"/>
        </w:rPr>
        <w:t>(2)</w:t>
      </w:r>
      <w:r>
        <w:rPr>
          <w:rFonts w:eastAsia="Times New Roman" w:cs="Times New Roman"/>
          <w:szCs w:val="24"/>
          <w:u w:val="single"/>
        </w:rPr>
        <w:t>, or (3) of this subsection</w:t>
      </w:r>
      <w:r>
        <w:rPr>
          <w:rFonts w:eastAsia="Times New Roman" w:cs="Times New Roman"/>
          <w:szCs w:val="24"/>
        </w:rPr>
        <w:t>, provided that the insurer does not challenge the Adjusted RBC Report pursuant to Section 38</w:t>
      </w:r>
      <w:r>
        <w:rPr>
          <w:rFonts w:eastAsia="Times New Roman" w:cs="Times New Roman"/>
          <w:szCs w:val="24"/>
        </w:rPr>
        <w:noBreakHyphen/>
        <w:t>9</w:t>
      </w:r>
      <w:r>
        <w:rPr>
          <w:rFonts w:eastAsia="Times New Roman" w:cs="Times New Roman"/>
          <w:szCs w:val="24"/>
        </w:rPr>
        <w:noBreakHyphen/>
        <w:t>370.  If the insurer challenges an Adjusted RBC Report, then the Company Action Level Event occurs upon notification that an administrative law judge has rejected the challenge.”</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4.</w:t>
      </w:r>
      <w:r>
        <w:rPr>
          <w:rFonts w:eastAsia="Times New Roman" w:cs="Times New Roman"/>
          <w:szCs w:val="24"/>
        </w:rPr>
        <w:tab/>
        <w:t>Section 38</w:t>
      </w:r>
      <w:r>
        <w:rPr>
          <w:rFonts w:eastAsia="Times New Roman" w:cs="Times New Roman"/>
          <w:szCs w:val="24"/>
        </w:rPr>
        <w:noBreakHyphen/>
        <w:t>21</w:t>
      </w:r>
      <w:r>
        <w:rPr>
          <w:rFonts w:eastAsia="Times New Roman" w:cs="Times New Roman"/>
          <w:szCs w:val="24"/>
        </w:rPr>
        <w:noBreakHyphen/>
        <w:t>95 of the 1976 Code is amended to read:</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4"/>
        </w:rPr>
        <w:tab/>
        <w:t>“</w:t>
      </w:r>
      <w:r>
        <w:rPr>
          <w:rFonts w:eastAsia="Times New Roman" w:cs="Times New Roman"/>
          <w:szCs w:val="20"/>
        </w:rPr>
        <w:t>Section 38</w:t>
      </w:r>
      <w:r>
        <w:rPr>
          <w:rFonts w:eastAsia="Times New Roman" w:cs="Times New Roman"/>
          <w:szCs w:val="20"/>
        </w:rPr>
        <w:noBreakHyphen/>
        <w:t>21</w:t>
      </w:r>
      <w:r>
        <w:rPr>
          <w:rFonts w:eastAsia="Times New Roman" w:cs="Times New Roman"/>
          <w:szCs w:val="20"/>
        </w:rPr>
        <w:noBreakHyphen/>
        <w:t>95.</w:t>
      </w:r>
      <w:r>
        <w:rPr>
          <w:rFonts w:eastAsia="Times New Roman" w:cs="Times New Roman"/>
          <w:szCs w:val="20"/>
        </w:rPr>
        <w:tab/>
        <w:t>(A)</w:t>
      </w:r>
      <w:r>
        <w:rPr>
          <w:rFonts w:eastAsia="Times New Roman" w:cs="Times New Roman"/>
          <w:szCs w:val="20"/>
        </w:rPr>
        <w:tab/>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acquisition of a domestic insurer, whether a member of a holding company system or not, by a controlling producer </w:t>
      </w:r>
      <w:r>
        <w:rPr>
          <w:rFonts w:eastAsia="Times New Roman" w:cs="Times New Roman"/>
          <w:strike/>
          <w:szCs w:val="20"/>
        </w:rPr>
        <w:t>in another state</w:t>
      </w:r>
      <w:r>
        <w:rPr>
          <w:rFonts w:eastAsia="Times New Roman" w:cs="Times New Roman"/>
          <w:szCs w:val="20"/>
        </w:rPr>
        <w:t xml:space="preserve"> may </w:t>
      </w:r>
      <w:r>
        <w:rPr>
          <w:rFonts w:eastAsia="Times New Roman" w:cs="Times New Roman"/>
          <w:szCs w:val="20"/>
          <w:u w:val="single"/>
        </w:rPr>
        <w:t>not</w:t>
      </w:r>
      <w:r>
        <w:rPr>
          <w:rFonts w:eastAsia="Times New Roman" w:cs="Times New Roman"/>
          <w:szCs w:val="20"/>
        </w:rPr>
        <w:t xml:space="preserve"> be approved by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unless the acquiring party demonstrates, to the satisfaction of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compliance with the requirements contained in subsection (B) of this section.  For the purposes of this section, ‘controlling producer’ means </w:t>
      </w:r>
      <w:r>
        <w:rPr>
          <w:rFonts w:eastAsia="Times New Roman" w:cs="Times New Roman"/>
          <w:szCs w:val="20"/>
          <w:u w:val="single"/>
        </w:rPr>
        <w:t>a broker that</w:t>
      </w:r>
      <w:r>
        <w:rPr>
          <w:rFonts w:eastAsia="Times New Roman" w:cs="Times New Roman"/>
          <w:szCs w:val="20"/>
        </w:rPr>
        <w:t xml:space="preserve">: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r>
      <w:r>
        <w:rPr>
          <w:rFonts w:eastAsia="Times New Roman" w:cs="Times New Roman"/>
          <w:strike/>
          <w:szCs w:val="20"/>
        </w:rPr>
        <w:t>a broker or brokers in a foreign state which permits a broker to place</w:t>
      </w:r>
      <w:r>
        <w:rPr>
          <w:rFonts w:eastAsia="Times New Roman" w:cs="Times New Roman"/>
          <w:szCs w:val="20"/>
        </w:rPr>
        <w:t xml:space="preserve"> </w:t>
      </w:r>
      <w:r>
        <w:rPr>
          <w:rFonts w:eastAsia="Times New Roman" w:cs="Times New Roman"/>
          <w:szCs w:val="20"/>
          <w:u w:val="single"/>
        </w:rPr>
        <w:t>places</w:t>
      </w:r>
      <w:r>
        <w:rPr>
          <w:rFonts w:eastAsia="Times New Roman" w:cs="Times New Roman"/>
          <w:szCs w:val="20"/>
        </w:rPr>
        <w:t xml:space="preserve"> business on behalf of an insured with a licensed insurer;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Pr>
          <w:rFonts w:eastAsia="Times New Roman" w:cs="Times New Roman"/>
          <w:strike/>
          <w:szCs w:val="20"/>
        </w:rPr>
        <w:t>which</w:t>
      </w:r>
      <w:r>
        <w:rPr>
          <w:rFonts w:eastAsia="Times New Roman" w:cs="Times New Roman"/>
          <w:szCs w:val="20"/>
        </w:rPr>
        <w:t xml:space="preserve"> controls or seeks to control a domestic insurer as that term is defined in Section 38</w:t>
      </w:r>
      <w:r>
        <w:rPr>
          <w:rFonts w:eastAsia="Times New Roman" w:cs="Times New Roman"/>
          <w:szCs w:val="20"/>
        </w:rPr>
        <w:noBreakHyphen/>
        <w:t>21</w:t>
      </w:r>
      <w:r>
        <w:rPr>
          <w:rFonts w:eastAsia="Times New Roman" w:cs="Times New Roman"/>
          <w:szCs w:val="20"/>
        </w:rPr>
        <w:noBreakHyphen/>
        <w:t xml:space="preserve">10(2);  and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r>
      <w:r>
        <w:rPr>
          <w:rFonts w:eastAsia="Times New Roman" w:cs="Times New Roman"/>
          <w:strike/>
          <w:szCs w:val="20"/>
        </w:rPr>
        <w:t>which</w:t>
      </w:r>
      <w:r>
        <w:rPr>
          <w:rFonts w:eastAsia="Times New Roman" w:cs="Times New Roman"/>
          <w:szCs w:val="20"/>
        </w:rPr>
        <w:t xml:space="preserve"> places, in any calendar year, an aggregate amount of gross written premium with the controlled insurer which is equal to or greater than five percent of the admitted assets of the controlled insurer as reported in the insurer’s quarterly statement filed as of September thirtieth of the prior year.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Approval of the acquisition of a domestic insurer, whether a member of a holding company system or not, by a </w:t>
      </w:r>
      <w:r>
        <w:rPr>
          <w:rFonts w:eastAsia="Times New Roman" w:cs="Times New Roman"/>
          <w:strike/>
          <w:szCs w:val="20"/>
        </w:rPr>
        <w:t>foreign</w:t>
      </w:r>
      <w:r>
        <w:rPr>
          <w:rFonts w:eastAsia="Times New Roman" w:cs="Times New Roman"/>
          <w:szCs w:val="20"/>
        </w:rPr>
        <w:t xml:space="preserve"> controlling producer may not be approved unless the following requirements are met: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r>
      <w:r>
        <w:rPr>
          <w:rFonts w:eastAsia="Times New Roman" w:cs="Times New Roman"/>
          <w:strike/>
          <w:szCs w:val="20"/>
        </w:rPr>
        <w:t>Required Contract Provisions.</w:t>
      </w:r>
      <w:r>
        <w:rPr>
          <w:rFonts w:eastAsia="Times New Roman" w:cs="Times New Roman"/>
          <w:szCs w:val="20"/>
        </w:rPr>
        <w:t xml:space="preserve">  A controlled insurer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accept business from a controlling producer and a controlling producer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place business with a controlled insurer unless there is a written contract between the controlling producer and the controlled insurer specifying the responsibilities of each party, which contract has been approved by the board of directors of the controlled insurer and which contains </w:t>
      </w:r>
      <w:r>
        <w:rPr>
          <w:rFonts w:eastAsia="Times New Roman" w:cs="Times New Roman"/>
          <w:strike/>
          <w:szCs w:val="20"/>
        </w:rPr>
        <w:t>the following</w:t>
      </w:r>
      <w:r>
        <w:rPr>
          <w:rFonts w:eastAsia="Times New Roman" w:cs="Times New Roman"/>
          <w:szCs w:val="20"/>
        </w:rPr>
        <w:t xml:space="preserve"> </w:t>
      </w:r>
      <w:r>
        <w:rPr>
          <w:rFonts w:eastAsia="Times New Roman" w:cs="Times New Roman"/>
          <w:szCs w:val="20"/>
          <w:u w:val="single"/>
        </w:rPr>
        <w:t>a provision</w:t>
      </w:r>
      <w:r>
        <w:rPr>
          <w:rFonts w:eastAsia="Times New Roman" w:cs="Times New Roman"/>
          <w:szCs w:val="20"/>
        </w:rPr>
        <w:t xml:space="preserve">: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controlled insurer may terminate the contract for cause, upon written notice to the controlling </w:t>
      </w:r>
      <w:r>
        <w:rPr>
          <w:rFonts w:eastAsia="Times New Roman" w:cs="Times New Roman"/>
          <w:szCs w:val="20"/>
        </w:rPr>
        <w:lastRenderedPageBreak/>
        <w:t xml:space="preserve">producer.  The controlled insurer shall suspend the authority of the controlling producer to write business during the pendency of any dispute regarding the cause for the termination;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controlling producer shall render accounts to the controlled insurer detailing all material transactions, including information necessary to support all commissions, charges, and other fees received by, or owing to, the controlling producer;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controlling producer shall remit all funds due under the terms of the contract to the controlled insurer on at least a monthly basis.  The due date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fixed so that premiums or installments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it</w:t>
      </w:r>
      <w:r>
        <w:rPr>
          <w:rFonts w:eastAsia="Times New Roman" w:cs="Times New Roman"/>
          <w:szCs w:val="20"/>
        </w:rPr>
        <w:t xml:space="preserve"> collected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remitted no later than ninety days after the effective date of any policy placed with the controlled insurer under this contract;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all funds collected for the controlled insurer’s account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held by the controlling producer in a fiduciary capacity, in one or more appropriately identified bank accounts in banks that are members of the Federal Reserve System;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controlling producer shall maintain separately identifiable records of business written for the controlled insurer;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(f)</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contract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be assigned in whole or in part by the controlling producer;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(g)</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controlled insurer shall provide the controlling producer with its underwriting standards, rules, procedures, manuals setting forth the rates to be charged, and the conditions for the acceptance or rejection of risks.  The controlling producer shall adhere to the standards, rules, procedures, rates, and conditions.  The standards, rules, procedures, rates, and conditions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the same as those applicable to comparable business placed with the controlled insurer by a producer other than the controlling producer;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(h)</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establishing the rates and terms of the controlling producer’s commissions, charges, or other fees and the purposes for those charges or fees.  The rates of the commissions, charges, and other fees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no greater than those applicable to comparable business placed with the controlled insurer by producers other than controlling producers.  For purposes of this subitem and subitem (g), examples of ‘comparable business’ include the same lines of insurance, same kinds of insurance, same kinds of risks, similar policy limits, and similar quality of business;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Pr>
          <w:rFonts w:eastAsia="Times New Roman" w:cs="Times New Roman"/>
          <w:szCs w:val="20"/>
        </w:rPr>
        <w:tab/>
      </w:r>
      <w:r>
        <w:rPr>
          <w:rFonts w:eastAsia="Times New Roman" w:cs="Times New Roman"/>
          <w:szCs w:val="20"/>
        </w:rPr>
        <w:tab/>
        <w:t xml:space="preserve"> (i)</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if the contract provides that the controlling producer, on insurance business placed with the insurer, is to be compensated contingent upon the insurer’s profits on that business, then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compensation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not be determined and paid until at least five years after the premiums on liability insurance are earned and at least one year after the premiums are earned on any other insurance.  </w:t>
      </w:r>
      <w:r>
        <w:rPr>
          <w:rFonts w:eastAsia="Times New Roman" w:cs="Times New Roman"/>
          <w:strike/>
          <w:szCs w:val="20"/>
        </w:rPr>
        <w:t>In no event shall</w:t>
      </w:r>
      <w:r>
        <w:rPr>
          <w:rFonts w:eastAsia="Times New Roman" w:cs="Times New Roman"/>
          <w:szCs w:val="20"/>
        </w:rPr>
        <w:t xml:space="preserve"> The commissions </w:t>
      </w:r>
      <w:r>
        <w:rPr>
          <w:rFonts w:eastAsia="Times New Roman" w:cs="Times New Roman"/>
          <w:szCs w:val="20"/>
          <w:u w:val="single"/>
        </w:rPr>
        <w:t>may not</w:t>
      </w:r>
      <w:r>
        <w:rPr>
          <w:rFonts w:eastAsia="Times New Roman" w:cs="Times New Roman"/>
          <w:szCs w:val="20"/>
        </w:rPr>
        <w:t xml:space="preserve"> be paid until the adequacy of the controlled insurer’s reserves on remaining claims has been independently verified pursuant to subsection (B)(3)(a);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 xml:space="preserve"> (j)</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limiting the controlling producer’s writings in relation to the controlled insurer’s surplus and total writings.  The controlled insurer may establish a different limit for each line or subline of business.  The controlled insurer shall notify the controlling producer when the applicable limit is approached and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accept business from the controlling producer if the limit is reached.  The controlling producer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place business with the controlled insurer if it has been notified by the controlled insurer that the limit has been reached;  and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(k)</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controlling producer may negotiate but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does</w:t>
      </w:r>
      <w:r>
        <w:rPr>
          <w:rFonts w:eastAsia="Times New Roman" w:cs="Times New Roman"/>
          <w:szCs w:val="20"/>
        </w:rPr>
        <w:t xml:space="preserve"> not bind reinsurance on behalf of the controlled insurer on business the controlling producer places with the controlled insurer, except that the controlling producer may bind facultative reinsurance contracts pursuant to obligatory facultative agreements if the contract with the controlled insurer contains underwriting guidelines including, for both reinsurance assumed and ceded, a list of reinsurers with which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these</w:t>
      </w:r>
      <w:r>
        <w:rPr>
          <w:rFonts w:eastAsia="Times New Roman" w:cs="Times New Roman"/>
          <w:szCs w:val="20"/>
        </w:rPr>
        <w:t xml:space="preserve"> automatic agreements are in effect, the coverages and amounts or percentages that may be reinsured, and commission schedules.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Pr>
          <w:rFonts w:eastAsia="Times New Roman" w:cs="Times New Roman"/>
          <w:strike/>
          <w:szCs w:val="20"/>
        </w:rPr>
        <w:t>Audit Committee.</w:t>
      </w:r>
      <w:r>
        <w:rPr>
          <w:rFonts w:eastAsia="Times New Roman" w:cs="Times New Roman"/>
          <w:szCs w:val="20"/>
        </w:rPr>
        <w:t xml:space="preserve">  </w:t>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Each</w:t>
      </w:r>
      <w:r>
        <w:rPr>
          <w:rFonts w:eastAsia="Times New Roman" w:cs="Times New Roman"/>
          <w:szCs w:val="20"/>
        </w:rPr>
        <w:t xml:space="preserve"> controlled insurer shall have an audit committee of the board of directors composed of independent directors.  The audit committee shall </w:t>
      </w:r>
      <w:r>
        <w:rPr>
          <w:rFonts w:eastAsia="Times New Roman" w:cs="Times New Roman"/>
          <w:strike/>
          <w:szCs w:val="20"/>
        </w:rPr>
        <w:t>annually</w:t>
      </w:r>
      <w:r>
        <w:rPr>
          <w:rFonts w:eastAsia="Times New Roman" w:cs="Times New Roman"/>
          <w:szCs w:val="20"/>
        </w:rPr>
        <w:t xml:space="preserve"> meet </w:t>
      </w:r>
      <w:r>
        <w:rPr>
          <w:rFonts w:eastAsia="Times New Roman" w:cs="Times New Roman"/>
          <w:szCs w:val="20"/>
          <w:u w:val="single"/>
        </w:rPr>
        <w:t>annually</w:t>
      </w:r>
      <w:r>
        <w:rPr>
          <w:rFonts w:eastAsia="Times New Roman" w:cs="Times New Roman"/>
          <w:szCs w:val="20"/>
        </w:rPr>
        <w:t xml:space="preserve"> with management, the controlled insurer’s independent certified public accountants, and an independent casualty actuary</w:t>
      </w:r>
      <w:r>
        <w:rPr>
          <w:rFonts w:eastAsia="Times New Roman" w:cs="Times New Roman"/>
          <w:szCs w:val="20"/>
          <w:u w:val="single"/>
        </w:rPr>
        <w:t>,</w:t>
      </w:r>
      <w:r>
        <w:rPr>
          <w:rFonts w:eastAsia="Times New Roman" w:cs="Times New Roman"/>
          <w:szCs w:val="20"/>
        </w:rPr>
        <w:t xml:space="preserve"> or other independent loss reserve specialist acceptable to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to review the adequacy of the controlled insurer’s loss reserves.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(3)(a)</w:t>
      </w:r>
      <w:r>
        <w:rPr>
          <w:rFonts w:eastAsia="Times New Roman" w:cs="Times New Roman"/>
          <w:szCs w:val="20"/>
        </w:rPr>
        <w:tab/>
      </w:r>
      <w:r>
        <w:rPr>
          <w:rFonts w:eastAsia="Times New Roman" w:cs="Times New Roman"/>
          <w:strike/>
          <w:szCs w:val="20"/>
        </w:rPr>
        <w:t>Reporting Requirements.</w:t>
      </w:r>
      <w:r>
        <w:rPr>
          <w:rFonts w:eastAsia="Times New Roman" w:cs="Times New Roman"/>
          <w:szCs w:val="20"/>
        </w:rPr>
        <w:t xml:space="preserve">  In addition to </w:t>
      </w:r>
      <w:r>
        <w:rPr>
          <w:rFonts w:eastAsia="Times New Roman" w:cs="Times New Roman"/>
          <w:strike/>
          <w:szCs w:val="20"/>
        </w:rPr>
        <w:t>any other</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required loss reserve certification, the controlled insurer shall </w:t>
      </w:r>
      <w:r>
        <w:rPr>
          <w:rFonts w:eastAsia="Times New Roman" w:cs="Times New Roman"/>
          <w:szCs w:val="20"/>
          <w:u w:val="single"/>
        </w:rPr>
        <w:t>file</w:t>
      </w:r>
      <w:r>
        <w:rPr>
          <w:rFonts w:eastAsia="Times New Roman" w:cs="Times New Roman"/>
          <w:szCs w:val="20"/>
        </w:rPr>
        <w:t xml:space="preserve"> annually, on April first of each year, </w:t>
      </w:r>
      <w:r>
        <w:rPr>
          <w:rFonts w:eastAsia="Times New Roman" w:cs="Times New Roman"/>
          <w:strike/>
          <w:szCs w:val="20"/>
        </w:rPr>
        <w:t>file</w:t>
      </w:r>
      <w:r>
        <w:rPr>
          <w:rFonts w:eastAsia="Times New Roman" w:cs="Times New Roman"/>
          <w:szCs w:val="20"/>
        </w:rPr>
        <w:t xml:space="preserve"> with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an opinion of an independent casualty actuary, or </w:t>
      </w:r>
      <w:r>
        <w:rPr>
          <w:rFonts w:eastAsia="Times New Roman" w:cs="Times New Roman"/>
          <w:strike/>
          <w:szCs w:val="20"/>
        </w:rPr>
        <w:t>such</w:t>
      </w:r>
      <w:r>
        <w:rPr>
          <w:rFonts w:eastAsia="Times New Roman" w:cs="Times New Roman"/>
          <w:szCs w:val="20"/>
        </w:rPr>
        <w:t xml:space="preserve"> other independent loss reserve specialist acceptable to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 xml:space="preserve">director or his </w:t>
      </w:r>
      <w:r>
        <w:rPr>
          <w:rFonts w:eastAsia="Times New Roman" w:cs="Times New Roman"/>
          <w:szCs w:val="20"/>
          <w:u w:val="single"/>
        </w:rPr>
        <w:lastRenderedPageBreak/>
        <w:t>designee</w:t>
      </w:r>
      <w:r>
        <w:rPr>
          <w:rFonts w:eastAsia="Times New Roman" w:cs="Times New Roman"/>
          <w:szCs w:val="20"/>
        </w:rPr>
        <w:t>, reporting loss ratios for each line or subline of business written and attesting to the adequacy of loss reserves established for losses incurred and outstanding as of year</w:t>
      </w:r>
      <w:r>
        <w:rPr>
          <w:rFonts w:eastAsia="Times New Roman" w:cs="Times New Roman"/>
          <w:szCs w:val="20"/>
        </w:rPr>
        <w:noBreakHyphen/>
        <w:t xml:space="preserve">end, including incurred but not reported losses, on business placed by the controlling producer;  and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The controlled insurer shall </w:t>
      </w:r>
      <w:r>
        <w:rPr>
          <w:rFonts w:eastAsia="Times New Roman" w:cs="Times New Roman"/>
          <w:strike/>
          <w:szCs w:val="20"/>
        </w:rPr>
        <w:t>annually</w:t>
      </w:r>
      <w:r>
        <w:rPr>
          <w:rFonts w:eastAsia="Times New Roman" w:cs="Times New Roman"/>
          <w:szCs w:val="20"/>
        </w:rPr>
        <w:t xml:space="preserve"> report </w:t>
      </w:r>
      <w:r>
        <w:rPr>
          <w:rFonts w:eastAsia="Times New Roman" w:cs="Times New Roman"/>
          <w:szCs w:val="20"/>
          <w:u w:val="single"/>
        </w:rPr>
        <w:t>annually</w:t>
      </w:r>
      <w:r>
        <w:rPr>
          <w:rFonts w:eastAsia="Times New Roman" w:cs="Times New Roman"/>
          <w:szCs w:val="20"/>
        </w:rPr>
        <w:t xml:space="preserve"> to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the amount of commissions paid to the controlling producer, the percentage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amount represents of the net premiums written, and comparable amounts and percentages paid to noncontrolling producers for placements of the same kinds of insurance.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r>
      <w:r>
        <w:rPr>
          <w:rFonts w:eastAsia="Times New Roman" w:cs="Times New Roman"/>
          <w:strike/>
          <w:szCs w:val="20"/>
        </w:rPr>
        <w:t>Disclosure Requirements.</w:t>
      </w:r>
      <w:r>
        <w:rPr>
          <w:rFonts w:eastAsia="Times New Roman" w:cs="Times New Roman"/>
          <w:szCs w:val="20"/>
        </w:rPr>
        <w:t xml:space="preserve">  The controlling producer,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effective date of the policy, shall deliver written notice to the prospective insured disclosing the relationship between the controlling producer and the controlled insurer, except that, if the business is placed through a subproducer who is not a controlling producer, the controlling producer shall retain in his records a signed commitment from the subproducer that the subproducer is aware of the relationship between the controlled insurer and the controlling producer and that the subproducer has or will notify the insured.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(5)(a)</w:t>
      </w:r>
      <w:r>
        <w:rPr>
          <w:rFonts w:eastAsia="Times New Roman" w:cs="Times New Roman"/>
          <w:szCs w:val="20"/>
        </w:rPr>
        <w:tab/>
      </w:r>
      <w:r>
        <w:rPr>
          <w:rFonts w:eastAsia="Times New Roman" w:cs="Times New Roman"/>
          <w:strike/>
          <w:szCs w:val="20"/>
        </w:rPr>
        <w:t>Penalties.</w:t>
      </w:r>
      <w:r>
        <w:rPr>
          <w:rFonts w:eastAsia="Times New Roman" w:cs="Times New Roman"/>
          <w:szCs w:val="20"/>
        </w:rPr>
        <w:t xml:space="preserve">  If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believes that the controlling producer or </w:t>
      </w:r>
      <w:r>
        <w:rPr>
          <w:rFonts w:eastAsia="Times New Roman" w:cs="Times New Roman"/>
          <w:strike/>
          <w:szCs w:val="20"/>
        </w:rPr>
        <w:t>any</w:t>
      </w:r>
      <w:r>
        <w:rPr>
          <w:rFonts w:eastAsia="Times New Roman" w:cs="Times New Roman"/>
          <w:szCs w:val="20"/>
        </w:rPr>
        <w:t xml:space="preserve"> other person has not materially complied with this section, or </w:t>
      </w:r>
      <w:r>
        <w:rPr>
          <w:rFonts w:eastAsia="Times New Roman" w:cs="Times New Roman"/>
          <w:strike/>
          <w:szCs w:val="20"/>
        </w:rPr>
        <w:t>any</w:t>
      </w:r>
      <w:r>
        <w:rPr>
          <w:rFonts w:eastAsia="Times New Roman" w:cs="Times New Roman"/>
          <w:szCs w:val="20"/>
        </w:rPr>
        <w:t xml:space="preserve"> regulation or order promulgated </w:t>
      </w:r>
      <w:r>
        <w:rPr>
          <w:rFonts w:eastAsia="Times New Roman" w:cs="Times New Roman"/>
          <w:strike/>
          <w:szCs w:val="20"/>
        </w:rPr>
        <w:t>hereunder</w:t>
      </w:r>
      <w:r>
        <w:rPr>
          <w:rFonts w:eastAsia="Times New Roman" w:cs="Times New Roman"/>
          <w:szCs w:val="20"/>
        </w:rPr>
        <w:t xml:space="preserve"> </w:t>
      </w:r>
      <w:r>
        <w:rPr>
          <w:rFonts w:eastAsia="Times New Roman" w:cs="Times New Roman"/>
          <w:szCs w:val="20"/>
          <w:u w:val="single"/>
        </w:rPr>
        <w:t>pursuant to the provisions of this section</w:t>
      </w:r>
      <w:r>
        <w:rPr>
          <w:rFonts w:eastAsia="Times New Roman" w:cs="Times New Roman"/>
          <w:szCs w:val="20"/>
        </w:rPr>
        <w:t xml:space="preserve">, after notice and opportunity to be heard,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may order the controlling producer to cease placing business with the controlled insurer;  and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If it was found that because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material noncompliance that the controlled insurer or any policyholder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it</w:t>
      </w:r>
      <w:r>
        <w:rPr>
          <w:rFonts w:eastAsia="Times New Roman" w:cs="Times New Roman"/>
          <w:szCs w:val="20"/>
        </w:rPr>
        <w:t xml:space="preserve"> has suffered any loss or damage,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may maintain a civil action or intervene in an action brought by or on behalf of the controlled insurer or policyholder for recovery of compensatory damages for the benefit of the controlled insurer or policyholder or other appropriate relief.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If an order for liquidation or rehabilitation of the controlled insurer has been entered pursuant to </w:t>
      </w:r>
      <w:r>
        <w:rPr>
          <w:rFonts w:eastAsia="Times New Roman" w:cs="Times New Roman"/>
          <w:strike/>
          <w:szCs w:val="20"/>
        </w:rPr>
        <w:t>Section 38</w:t>
      </w:r>
      <w:r>
        <w:rPr>
          <w:rFonts w:eastAsia="Times New Roman" w:cs="Times New Roman"/>
          <w:strike/>
          <w:szCs w:val="20"/>
        </w:rPr>
        <w:noBreakHyphen/>
        <w:t>27</w:t>
      </w:r>
      <w:r>
        <w:rPr>
          <w:rFonts w:eastAsia="Times New Roman" w:cs="Times New Roman"/>
          <w:strike/>
          <w:szCs w:val="20"/>
        </w:rPr>
        <w:noBreakHyphen/>
        <w:t>10, et seq.</w:t>
      </w:r>
      <w:r>
        <w:rPr>
          <w:rFonts w:eastAsia="Times New Roman" w:cs="Times New Roman"/>
          <w:szCs w:val="20"/>
        </w:rPr>
        <w:t xml:space="preserve"> </w:t>
      </w:r>
      <w:r>
        <w:rPr>
          <w:rFonts w:eastAsia="Times New Roman" w:cs="Times New Roman"/>
          <w:szCs w:val="20"/>
          <w:u w:val="single"/>
        </w:rPr>
        <w:t>Chapter 27, Title 38</w:t>
      </w:r>
      <w:r>
        <w:rPr>
          <w:rFonts w:eastAsia="Times New Roman" w:cs="Times New Roman"/>
          <w:szCs w:val="20"/>
        </w:rPr>
        <w:t xml:space="preserve">, and the receiver appointed under that order believes that the controlling producer or </w:t>
      </w:r>
      <w:r>
        <w:rPr>
          <w:rFonts w:eastAsia="Times New Roman" w:cs="Times New Roman"/>
          <w:strike/>
          <w:szCs w:val="20"/>
        </w:rPr>
        <w:t>any other</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person has not materially complied with this section, or </w:t>
      </w:r>
      <w:r>
        <w:rPr>
          <w:rFonts w:eastAsia="Times New Roman" w:cs="Times New Roman"/>
          <w:strike/>
          <w:szCs w:val="20"/>
        </w:rPr>
        <w:t>any</w:t>
      </w:r>
      <w:r>
        <w:rPr>
          <w:rFonts w:eastAsia="Times New Roman" w:cs="Times New Roman"/>
          <w:szCs w:val="20"/>
        </w:rPr>
        <w:t xml:space="preserve"> regulation or order promulgated </w:t>
      </w:r>
      <w:r>
        <w:rPr>
          <w:rFonts w:eastAsia="Times New Roman" w:cs="Times New Roman"/>
          <w:strike/>
          <w:szCs w:val="20"/>
        </w:rPr>
        <w:t>hereunder</w:t>
      </w:r>
      <w:r>
        <w:rPr>
          <w:rFonts w:eastAsia="Times New Roman" w:cs="Times New Roman"/>
          <w:szCs w:val="20"/>
        </w:rPr>
        <w:t xml:space="preserve"> </w:t>
      </w:r>
      <w:r>
        <w:rPr>
          <w:rFonts w:eastAsia="Times New Roman" w:cs="Times New Roman"/>
          <w:szCs w:val="20"/>
          <w:u w:val="single"/>
        </w:rPr>
        <w:t>under it</w:t>
      </w:r>
      <w:r>
        <w:rPr>
          <w:rFonts w:eastAsia="Times New Roman" w:cs="Times New Roman"/>
          <w:szCs w:val="20"/>
        </w:rPr>
        <w:t xml:space="preserve">, and the controlled insurer suffered any loss or damage </w:t>
      </w:r>
      <w:r>
        <w:rPr>
          <w:rFonts w:eastAsia="Times New Roman" w:cs="Times New Roman"/>
          <w:strike/>
          <w:szCs w:val="20"/>
        </w:rPr>
        <w:t>therefrom</w:t>
      </w:r>
      <w:r>
        <w:rPr>
          <w:rFonts w:eastAsia="Times New Roman" w:cs="Times New Roman"/>
          <w:szCs w:val="20"/>
        </w:rPr>
        <w:t xml:space="preserve"> </w:t>
      </w:r>
      <w:r>
        <w:rPr>
          <w:rFonts w:eastAsia="Times New Roman" w:cs="Times New Roman"/>
          <w:szCs w:val="20"/>
          <w:u w:val="single"/>
        </w:rPr>
        <w:t>from it</w:t>
      </w:r>
      <w:r>
        <w:rPr>
          <w:rFonts w:eastAsia="Times New Roman" w:cs="Times New Roman"/>
          <w:szCs w:val="20"/>
        </w:rPr>
        <w:t xml:space="preserve">, </w:t>
      </w:r>
      <w:r>
        <w:rPr>
          <w:rFonts w:eastAsia="Times New Roman" w:cs="Times New Roman"/>
          <w:szCs w:val="20"/>
        </w:rPr>
        <w:lastRenderedPageBreak/>
        <w:t xml:space="preserve">the receiver may maintain a civil action for recovery of damages or other appropriate sanctions for the benefit of the controlled insurer.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 xml:space="preserve">Nothing contained in this section </w:t>
      </w:r>
      <w:r>
        <w:rPr>
          <w:rFonts w:eastAsia="Times New Roman" w:cs="Times New Roman"/>
          <w:strike/>
          <w:szCs w:val="20"/>
        </w:rPr>
        <w:t>shall affect</w:t>
      </w:r>
      <w:r>
        <w:rPr>
          <w:rFonts w:eastAsia="Times New Roman" w:cs="Times New Roman"/>
          <w:szCs w:val="20"/>
        </w:rPr>
        <w:t xml:space="preserve"> </w:t>
      </w:r>
      <w:r>
        <w:rPr>
          <w:rFonts w:eastAsia="Times New Roman" w:cs="Times New Roman"/>
          <w:szCs w:val="20"/>
          <w:u w:val="single"/>
        </w:rPr>
        <w:t>affects</w:t>
      </w:r>
      <w:r>
        <w:rPr>
          <w:rFonts w:eastAsia="Times New Roman" w:cs="Times New Roman"/>
          <w:szCs w:val="20"/>
        </w:rPr>
        <w:t xml:space="preserve"> the right of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to impose </w:t>
      </w:r>
      <w:r>
        <w:rPr>
          <w:rFonts w:eastAsia="Times New Roman" w:cs="Times New Roman"/>
          <w:strike/>
          <w:szCs w:val="20"/>
        </w:rPr>
        <w:t>any</w:t>
      </w:r>
      <w:r>
        <w:rPr>
          <w:rFonts w:eastAsia="Times New Roman" w:cs="Times New Roman"/>
          <w:szCs w:val="20"/>
        </w:rPr>
        <w:t xml:space="preserve"> other penalties provided for in the insurance law.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 xml:space="preserve">Nothing contained in this section is intended to or </w:t>
      </w:r>
      <w:r>
        <w:rPr>
          <w:rFonts w:eastAsia="Times New Roman" w:cs="Times New Roman"/>
          <w:strike/>
          <w:szCs w:val="20"/>
        </w:rPr>
        <w:t>shall</w:t>
      </w:r>
      <w:r>
        <w:rPr>
          <w:rFonts w:eastAsia="Times New Roman" w:cs="Times New Roman"/>
          <w:szCs w:val="20"/>
        </w:rPr>
        <w:t xml:space="preserve"> in any manner </w:t>
      </w:r>
      <w:r>
        <w:rPr>
          <w:rFonts w:eastAsia="Times New Roman" w:cs="Times New Roman"/>
          <w:strike/>
          <w:szCs w:val="20"/>
        </w:rPr>
        <w:t>alter</w:t>
      </w:r>
      <w:r>
        <w:rPr>
          <w:rFonts w:eastAsia="Times New Roman" w:cs="Times New Roman"/>
          <w:szCs w:val="20"/>
        </w:rPr>
        <w:t xml:space="preserve"> </w:t>
      </w:r>
      <w:r>
        <w:rPr>
          <w:rFonts w:eastAsia="Times New Roman" w:cs="Times New Roman"/>
          <w:szCs w:val="20"/>
          <w:u w:val="single"/>
        </w:rPr>
        <w:t>alters</w:t>
      </w:r>
      <w:r>
        <w:rPr>
          <w:rFonts w:eastAsia="Times New Roman" w:cs="Times New Roman"/>
          <w:szCs w:val="20"/>
        </w:rPr>
        <w:t xml:space="preserve"> or </w:t>
      </w:r>
      <w:r>
        <w:rPr>
          <w:rFonts w:eastAsia="Times New Roman" w:cs="Times New Roman"/>
          <w:strike/>
          <w:szCs w:val="20"/>
        </w:rPr>
        <w:t>affect</w:t>
      </w:r>
      <w:r>
        <w:rPr>
          <w:rFonts w:eastAsia="Times New Roman" w:cs="Times New Roman"/>
          <w:szCs w:val="20"/>
        </w:rPr>
        <w:t xml:space="preserve"> </w:t>
      </w:r>
      <w:r>
        <w:rPr>
          <w:rFonts w:eastAsia="Times New Roman" w:cs="Times New Roman"/>
          <w:szCs w:val="20"/>
          <w:u w:val="single"/>
        </w:rPr>
        <w:t>affects</w:t>
      </w:r>
      <w:r>
        <w:rPr>
          <w:rFonts w:eastAsia="Times New Roman" w:cs="Times New Roman"/>
          <w:szCs w:val="20"/>
        </w:rPr>
        <w:t xml:space="preserve"> the rights of policyholders, claimants, creditors, or other third parties.”</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rsidR="00E65E5D" w:rsidRDefault="009410AE" w:rsidP="00104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65E5D" w:rsidSect="009410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5E5D" w:rsidRDefault="00E65E5D" w:rsidP="00E65E5D">
      <w:r>
        <w:separator/>
      </w:r>
    </w:p>
  </w:endnote>
  <w:endnote w:type="continuationSeparator" w:id="1">
    <w:p w:rsidR="00E65E5D" w:rsidRDefault="00E65E5D" w:rsidP="00E65E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37023E-6C5C-4625-9195-95EE0E0418DA}"/>
    <w:embedBold r:id="rId2" w:fontKey="{3AF353E8-CD3C-42BB-A299-8E08571AB958}"/>
    <w:embedItalic r:id="rId3" w:fontKey="{B0F60714-960F-4239-B11A-8D0EA5A9CB3F}"/>
  </w:font>
  <w:font w:name="Calibri">
    <w:panose1 w:val="020F0502020204030204"/>
    <w:charset w:val="00"/>
    <w:family w:val="swiss"/>
    <w:pitch w:val="variable"/>
    <w:sig w:usb0="A00002EF" w:usb1="4000207B" w:usb2="00000000" w:usb3="00000000" w:csb0="0000009F" w:csb1="00000000"/>
    <w:embedRegular r:id="rId4" w:fontKey="{B1A0FE20-53B3-4067-AEE4-BC168EEFA032}"/>
    <w:embedBold r:id="rId5" w:fontKey="{619D68FF-B407-4D4A-B563-7389DA5F3353}"/>
    <w:embedItalic r:id="rId6" w:fontKey="{5F8D9ADF-CB93-4C25-B12C-B77A7B8A6073}"/>
  </w:font>
  <w:font w:name="Tahoma">
    <w:panose1 w:val="020B0604030504040204"/>
    <w:charset w:val="00"/>
    <w:family w:val="swiss"/>
    <w:pitch w:val="variable"/>
    <w:sig w:usb0="61002A87" w:usb1="80000000" w:usb2="00000008" w:usb3="00000000" w:csb0="000101FF" w:csb1="00000000"/>
    <w:embedRegular r:id="rId7" w:fontKey="{2333A73B-1770-4405-B1EA-B2526047FE7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8" w:fontKey="{8384B706-8B0F-457E-8FAF-CA41B4AE75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E5D" w:rsidRDefault="009410AE">
    <w:pPr>
      <w:pStyle w:val="Footer"/>
      <w:tabs>
        <w:tab w:val="clear" w:pos="4680"/>
        <w:tab w:val="clear" w:pos="9360"/>
        <w:tab w:val="center" w:pos="2995"/>
      </w:tabs>
      <w:spacing w:before="120"/>
    </w:pPr>
    <w:r>
      <w:t>[301-</w:t>
    </w:r>
    <w:fldSimple w:instr=" PAGE  \* MERGEFORMAT ">
      <w:r w:rsidR="00104F28">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0AE" w:rsidRDefault="009410AE">
    <w:pPr>
      <w:pStyle w:val="Footer"/>
      <w:tabs>
        <w:tab w:val="clear" w:pos="4680"/>
        <w:tab w:val="clear" w:pos="9360"/>
        <w:tab w:val="center" w:pos="2995"/>
      </w:tabs>
      <w:spacing w:before="120"/>
    </w:pPr>
    <w:r>
      <w:t>[301]</w:t>
    </w:r>
    <w:r>
      <w:tab/>
    </w:r>
    <w:fldSimple w:instr=" PAGE  \* MERGEFORMAT ">
      <w:r w:rsidR="00104F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5E5D" w:rsidRDefault="00E65E5D" w:rsidP="00E65E5D">
      <w:r>
        <w:separator/>
      </w:r>
    </w:p>
  </w:footnote>
  <w:footnote w:type="continuationSeparator" w:id="1">
    <w:p w:rsidR="00E65E5D" w:rsidRDefault="00E65E5D" w:rsidP="00E65E5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65E5D"/>
    <w:rsid w:val="00104F28"/>
    <w:rsid w:val="00386408"/>
    <w:rsid w:val="00677866"/>
    <w:rsid w:val="00780BD6"/>
    <w:rsid w:val="00881A76"/>
    <w:rsid w:val="009410AE"/>
    <w:rsid w:val="00E65E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65E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65E5D"/>
    <w:rPr>
      <w:szCs w:val="21"/>
    </w:rPr>
  </w:style>
  <w:style w:type="character" w:customStyle="1" w:styleId="PlainTextChar">
    <w:name w:val="Plain Text Char"/>
    <w:basedOn w:val="DefaultParagraphFont"/>
    <w:link w:val="PlainText"/>
    <w:uiPriority w:val="99"/>
    <w:rsid w:val="00E65E5D"/>
    <w:rPr>
      <w:szCs w:val="21"/>
    </w:rPr>
  </w:style>
  <w:style w:type="paragraph" w:styleId="BodyText">
    <w:name w:val="Body Text"/>
    <w:basedOn w:val="Normal"/>
    <w:link w:val="BodyTextChar"/>
    <w:uiPriority w:val="99"/>
    <w:locked/>
    <w:rsid w:val="00E65E5D"/>
  </w:style>
  <w:style w:type="character" w:customStyle="1" w:styleId="BodyTextChar">
    <w:name w:val="Body Text Char"/>
    <w:basedOn w:val="DefaultParagraphFont"/>
    <w:link w:val="BodyText"/>
    <w:uiPriority w:val="99"/>
    <w:rsid w:val="00E65E5D"/>
  </w:style>
  <w:style w:type="paragraph" w:styleId="BalloonText">
    <w:name w:val="Balloon Text"/>
    <w:next w:val="Normal"/>
    <w:link w:val="BalloonTextChar"/>
    <w:uiPriority w:val="99"/>
    <w:unhideWhenUsed/>
    <w:rsid w:val="00E65E5D"/>
    <w:rPr>
      <w:rFonts w:cs="Tahoma"/>
      <w:szCs w:val="16"/>
    </w:rPr>
  </w:style>
  <w:style w:type="character" w:customStyle="1" w:styleId="BalloonTextChar">
    <w:name w:val="Balloon Text Char"/>
    <w:basedOn w:val="DefaultParagraphFont"/>
    <w:link w:val="BalloonText"/>
    <w:uiPriority w:val="99"/>
    <w:rsid w:val="00E65E5D"/>
    <w:rPr>
      <w:rFonts w:cs="Tahoma"/>
      <w:szCs w:val="16"/>
    </w:rPr>
  </w:style>
  <w:style w:type="paragraph" w:styleId="NormalWeb">
    <w:name w:val="Normal (Web)"/>
    <w:basedOn w:val="Normal"/>
    <w:next w:val="Normal"/>
    <w:semiHidden/>
    <w:locked/>
    <w:rsid w:val="00E65E5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65E5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65E5D"/>
    <w:rPr>
      <w:rFonts w:eastAsia="Times New Roman" w:cs="Times New Roman"/>
      <w:szCs w:val="20"/>
    </w:rPr>
  </w:style>
  <w:style w:type="character" w:styleId="LineNumber">
    <w:name w:val="line number"/>
    <w:basedOn w:val="DefaultParagraphFont"/>
    <w:uiPriority w:val="99"/>
    <w:semiHidden/>
    <w:unhideWhenUsed/>
    <w:locked/>
    <w:rsid w:val="009410AE"/>
  </w:style>
  <w:style w:type="paragraph" w:styleId="Header">
    <w:name w:val="header"/>
    <w:basedOn w:val="Normal"/>
    <w:link w:val="HeaderChar"/>
    <w:unhideWhenUsed/>
    <w:locked/>
    <w:rsid w:val="009410AE"/>
    <w:pPr>
      <w:tabs>
        <w:tab w:val="center" w:pos="4680"/>
        <w:tab w:val="right" w:pos="9360"/>
      </w:tabs>
    </w:pPr>
  </w:style>
  <w:style w:type="character" w:customStyle="1" w:styleId="HeaderChar">
    <w:name w:val="Header Char"/>
    <w:basedOn w:val="DefaultParagraphFont"/>
    <w:link w:val="Header"/>
    <w:rsid w:val="009410AE"/>
  </w:style>
  <w:style w:type="character" w:styleId="FollowedHyperlink">
    <w:name w:val="FollowedHyperlink"/>
    <w:basedOn w:val="DefaultParagraphFont"/>
    <w:uiPriority w:val="99"/>
    <w:semiHidden/>
    <w:unhideWhenUsed/>
    <w:locked/>
    <w:rsid w:val="003864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3271</Words>
  <Characters>17668</Characters>
  <Application>Microsoft Office Word</Application>
  <DocSecurity>0</DocSecurity>
  <Lines>420</Lines>
  <Paragraphs>102</Paragraphs>
  <ScaleCrop>false</ScaleCrop>
  <Company>Project Management</Company>
  <LinksUpToDate>false</LinksUpToDate>
  <CharactersWithSpaces>20837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2009-03-11T22:59:00Z</dcterms:created>
  <dcterms:modified xsi:type="dcterms:W3CDTF">2009-03-11T22:59:00Z</dcterms:modified>
</cp:coreProperties>
</file>