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7, ARTICLE X OF THE CONSTITUTION OF SOUTH CAROLINA, 1895, RELATING TO THE REQUIREMENT FOR THE STATE AND ITS POLITICAL SUBDIVISIONS TO HAVE BUDGET PROCESSES DESIGNED TO KEEP REVENUES AND EXPENDITURES IN BALANCE, THE LIMIT ON STATE APPROPRIATIONS, AND THE LIMITITATIONS ON STATE EMPLOYEES, SO AS TO DELETE THE EXISTING STATE SPENDING LIMITATION AND REPLACE IT BY A LAW PROVIDING THAT STATE GENERAL FUND APPROPRIATIONS FOR A FISCAL YEAR MAY NOT EXCEED SUCH APPROPRIATIONS FOR THE PRIOR YEAR INCREASED BY THE AVERAGE ANNUAL GROWTH RATE IN STATE GENERAL FUND REVENUES OVER THE PRECEDING TEN YEARS, TO PROVIDE FOR CALCULATION OF THE LIMIT AND CIRCUMSTANCES WHEN THE LIMIT MAY BE ADJUSTED, ESTABLISHING THE BUDGET STABILIZATION FUND (FUND) TO WHICH MUST BE CREDITED STATE GENERAL FUND REVENUES ACCRUING IN EXCESS OF THE ANNUAL LIMIT IN GENERAL FUND APPROPRIATIONS, PROVIDING THAT REVENUES IN THE FUND MUST BE USED FOR BUDGET STABILIZATION AND FOR DECLARED EMERGENCIES, TO ALLOW BALANCES IN THE FUND IN EXCESS OF FIFTEEN PERCENT OF THE PRIOR YEAR’S ACTUAL GENERAL FUND COLLECTIONS TO BE EXPENDED FOR CAPITAL IMPROVEMENTS, DEBT REDUCTIONS, OR TAX REBATES, OR ANY COMBINATION OF THESE, AND ALLOWING OTHER USES FOR FUND REVENUES, BUT ONLY PURSUANT TO THE “SPECIAL VOTE” CURRENTLY IN THE CONSTITUTION AS AN AFFIRMATIVE VOTE IN EACH BRANCH OF THE GENERAL ASSEMBLY BY A </w:t>
      </w:r>
      <w:r>
        <w:lastRenderedPageBreak/>
        <w:t>TWO</w:t>
      </w:r>
      <w:r>
        <w:noBreakHyphen/>
        <w:t>THIRDS VOTE OF THE MEMBERS PRESENT AND VOTING BUT NOT LESS THAN THREE</w:t>
      </w:r>
      <w:r>
        <w:noBreakHyphen/>
        <w:t>FIFTHS OF THE TOTAL MEMBERSHIP OF EACH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7(c), Article X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Pr>
          <w:strike/>
        </w:rPr>
        <w:t xml:space="preserve">The General Assembly shall prescribe by law a spending limitation on appropriations for the operation of state government 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During the regular session of the General Assembly in 1990 and during every fifth annual regular session thereafter, the General Assembly shall conduct and complete a review of the law implementing this subsection.  During such session, only a vote of two</w:t>
      </w:r>
      <w:r>
        <w:rPr>
          <w:strike/>
        </w:rPr>
        <w:noBreakHyphen/>
        <w:t>thirds of the members of each branch present and voting shall be required to change the existing limitation on appropriation.  Unless that is done, the existing limitations shall remain unchanged.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iCs/>
        </w:rPr>
      </w:pPr>
      <w:r>
        <w:tab/>
      </w:r>
      <w:r>
        <w:tab/>
      </w:r>
      <w:r>
        <w:rPr>
          <w:u w:val="single"/>
        </w:rPr>
        <w:t>(1)</w:t>
      </w:r>
      <w:r>
        <w:tab/>
      </w:r>
      <w:r>
        <w:rPr>
          <w:u w:val="single"/>
        </w:rPr>
        <w:t>The General Assembly by law shall prescribe a limitation on general fund appropriations providing</w:t>
      </w:r>
      <w:r>
        <w:rPr>
          <w:b/>
          <w:bCs/>
          <w:u w:val="single"/>
        </w:rPr>
        <w:t xml:space="preserve"> </w:t>
      </w:r>
      <w:r>
        <w:rPr>
          <w:u w:val="single"/>
        </w:rPr>
        <w:t>that general fund revenue available for</w:t>
      </w:r>
      <w:r>
        <w:rPr>
          <w:b/>
          <w:bCs/>
          <w:u w:val="single"/>
        </w:rPr>
        <w:t xml:space="preserve"> </w:t>
      </w:r>
      <w:r>
        <w:rPr>
          <w:u w:val="single"/>
        </w:rPr>
        <w:t>appropriations for a fiscal year must not exceed the total of the prior year’s general fund revenue available for appropriations increased by the average of the previous ten years’ annual revenue growth rates.  The revenue exceeding this limit shall be distributed to a Budget Stabilization Fund</w:t>
      </w:r>
      <w:r>
        <w:rPr>
          <w:b/>
          <w:bCs/>
          <w:u w:val="single"/>
        </w:rPr>
        <w:t xml:space="preserve">.  </w:t>
      </w:r>
      <w:r>
        <w:rPr>
          <w:u w:val="single"/>
        </w:rPr>
        <w:t>The law implementing the limit must specify the revenues and sources of revenue to which this limit applies, specify the method and agency responsible for calculating the limit, and the sources which must be used in obtaining the information required for the calculation,</w:t>
      </w:r>
      <w:r>
        <w:rPr>
          <w:i/>
          <w:iCs/>
          <w:u w:val="single"/>
        </w:rPr>
        <w:t xml:space="preserve"> </w:t>
      </w:r>
      <w:r>
        <w:rPr>
          <w:u w:val="single"/>
        </w:rPr>
        <w:t xml:space="preserve">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w:t>
      </w:r>
      <w:r>
        <w:rPr>
          <w:u w:val="single"/>
        </w:rPr>
        <w:lastRenderedPageBreak/>
        <w:t>limitation.  The law shall provide that the funds accumulated in the Budget Stabilization Fund shall not exceed a maximum of fifteen percent of the prior year’s actual general fund revenue collections.  The law shall also provide for the withdrawal of funds from the Budget Stabilization Fund in accordance with the limit.  Except for the use of balances greater than fifteen percent of the prior year’s actual general fund revenue collection, any withdrawal from the Budget Stabilization Fund other than for revenue stabilization or declared emergencies shall be by affirmative vote in each branch of the General Assembly by two</w:t>
      </w:r>
      <w:r>
        <w:rPr>
          <w:u w:val="single"/>
        </w:rPr>
        <w:noBreakHyphen/>
        <w:t>thirds of the members present and voting, but not less than three</w:t>
      </w:r>
      <w:r>
        <w:rPr>
          <w:u w:val="single"/>
        </w:rPr>
        <w:noBreakHyphen/>
        <w:t>fifths of the total membership in each branch.  When the balance in the Budget Stabilization Fund is greater than fifteen percent of the prior year’s actual general fund revenue collection, the overage may only be used for capital improvement projects, debt retirement, or a tax rebate.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Upon implementation of the provisions of this subsection by law, such law may </w:t>
      </w:r>
      <w:r>
        <w:rPr>
          <w:u w:val="single"/>
        </w:rPr>
        <w:t>be adopted by a majority vote of each branch of the General Assembly, and subsequently shall</w:t>
      </w:r>
      <w:r>
        <w:t xml:space="preserve"> not be amended or repealed except by the special vote as provided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t>The special vote referred to in this subsection means an affirmative vote in each branch of the General Assembly by two</w:t>
      </w:r>
      <w:r>
        <w:noBreakHyphen/>
        <w:t>thirds of the members present and voting, but not less than three</w:t>
      </w:r>
      <w:r>
        <w:noBreakHyphen/>
        <w:t>fifths of the total membership in each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xml:space="preserve">“Must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providing a limit on general fund appropriations so that general fund revenue available for appropriations must not exceed a total of the prior year’s general fund revenue increased by the average of the previous ten years’ annual growth rates, providing for the creation of a Budget Stabilization Fund from the revenue exceeding the limit, providing for the specification of revenues and sources of revenue to which the limit shall apply, </w:t>
      </w:r>
      <w:r>
        <w:lastRenderedPageBreak/>
        <w:t>providing for enacted revenue adjustments that affect the calculation, providing for emergencies and other extraordinary economic and fiscal circumstances that would require an adjustment to the limit, providing for procedures to implement, providing for a limit of revenues in the Budget Stabilization Fund that shall not exceed fifteen percent of that year’s actual general fund revenue collections, and providing for the withdrawal of the funds from the Budget Stabilization Fund; and to provide for the vote required for adoption of the implementing legislation and the special vote required for subsequent amendment or repeal?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0A1F68-E33B-4FED-9471-9BA557CE5685}"/>
    <w:embedBold r:id="rId2" w:fontKey="{55B97F96-2F16-4933-9985-78EC9D5FF7FE}"/>
    <w:embedItalic r:id="rId3" w:fontKey="{DB3CF651-3194-40C1-A8FD-AA791DEF8BB7}"/>
  </w:font>
  <w:font w:name="Calibri">
    <w:panose1 w:val="020F0502020204030204"/>
    <w:charset w:val="00"/>
    <w:family w:val="swiss"/>
    <w:pitch w:val="variable"/>
    <w:sig w:usb0="A00002EF" w:usb1="4000207B" w:usb2="00000000" w:usb3="00000000" w:csb0="0000009F" w:csb1="00000000"/>
    <w:embedRegular r:id="rId4" w:fontKey="{F64BA456-4BC7-465D-AF7D-983231DEC0EA}"/>
  </w:font>
  <w:font w:name="Wingdings">
    <w:panose1 w:val="05000000000000000000"/>
    <w:charset w:val="02"/>
    <w:family w:val="auto"/>
    <w:pitch w:val="variable"/>
    <w:sig w:usb0="00000000" w:usb1="10000000" w:usb2="00000000" w:usb3="00000000" w:csb0="80000000" w:csb1="00000000"/>
    <w:embedRegular r:id="rId5" w:fontKey="{2B5D2DBC-B578-4240-92EC-063E12DE4984}"/>
  </w:font>
  <w:font w:name="Cambria">
    <w:panose1 w:val="02040503050406030204"/>
    <w:charset w:val="00"/>
    <w:family w:val="roman"/>
    <w:pitch w:val="variable"/>
    <w:sig w:usb0="A00002EF" w:usb1="4000004B" w:usb2="00000000" w:usb3="00000000" w:csb0="0000009F" w:csb1="00000000"/>
    <w:embedRegular r:id="rId6" w:fontKey="{FE5DE28C-D9AD-4745-9C39-9FEE543C4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58HTC09"/>
    <w:docVar w:name="CoverBillType" w:val="h"/>
    <w:docVar w:name="docpath" w:val="L:\Council\bills\BBM\9058HTC09.DOCX"/>
    <w:docVar w:name="dvBillNumber" w:val="303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1078</Words>
  <Characters>6146</Characters>
  <Application>Microsoft Office Word</Application>
  <DocSecurity>0</DocSecurity>
  <Lines>51</Lines>
  <Paragraphs>14</Paragraphs>
  <ScaleCrop>false</ScaleCrop>
  <Company> </Company>
  <LinksUpToDate>false</LinksUpToDate>
  <CharactersWithSpaces>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2008-12-08T20:45:00Z</cp:lastPrinted>
  <dcterms:created xsi:type="dcterms:W3CDTF">2008-12-09T21:37:00Z</dcterms:created>
  <dcterms:modified xsi:type="dcterms:W3CDTF">2008-12-09T21:37:00Z</dcterms:modified>
</cp:coreProperties>
</file>