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23</w:t>
      </w:r>
      <w:r>
        <w:noBreakHyphen/>
        <w:t>3</w:t>
      </w:r>
      <w:r>
        <w:noBreakHyphen/>
        <w:t>535, CODE OF LAWS OF SOUTH CAROLINA, 1976, RELATING TO LIMITATIONS ON PLACES OF RESIDENCE FOR SEX OFFENDERS, SO AS TO PROVIDE THAT A LOCAL GOVERNMENT MAY NOT ENACT AN ORDINANCE THAT EXPANDS OR CONTRACTS THE BOUNDARIES OF THE AREAS IN WHICH A SEX OFFENDER MAY OR MAY NOT RESIDE THAT ARE CONTAINED IN THIS SECTION.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23</w:t>
      </w:r>
      <w:r>
        <w:noBreakHyphen/>
        <w:t>3</w:t>
      </w:r>
      <w:r>
        <w:noBreakHyphen/>
        <w:t>535(E) of the 1976 Code, as added by Act 333 of 2008,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u w:val="single"/>
        </w:rPr>
      </w:pPr>
      <w:r>
        <w:tab/>
        <w:t>“(E)</w:t>
      </w:r>
      <w:r>
        <w:tab/>
      </w:r>
      <w:r>
        <w:rPr>
          <w:rFonts w:eastAsia="MS Mincho"/>
        </w:rPr>
        <w:t>A local government may not enact an ordinance that</w:t>
      </w:r>
      <w:r>
        <w:rPr>
          <w:rFonts w:eastAsia="MS Mincho"/>
          <w:u w:val="single"/>
        </w:rPr>
        <w:t>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u w:val="single"/>
        </w:rPr>
      </w:pPr>
      <w:r>
        <w:rPr>
          <w:rFonts w:eastAsia="MS Mincho"/>
        </w:rPr>
        <w:tab/>
      </w:r>
      <w:r>
        <w:rPr>
          <w:rFonts w:eastAsia="MS Mincho"/>
        </w:rPr>
        <w:tab/>
      </w:r>
      <w:r>
        <w:rPr>
          <w:rFonts w:eastAsia="MS Mincho"/>
          <w:u w:val="single"/>
        </w:rPr>
        <w:t>(1)</w:t>
      </w:r>
      <w:r>
        <w:rPr>
          <w:rFonts w:eastAsia="MS Mincho"/>
        </w:rPr>
        <w:tab/>
        <w:t>contains penalties that exceed or are less lenient than the penalties contained in this section</w:t>
      </w:r>
      <w:r>
        <w:rPr>
          <w:rFonts w:eastAsia="MS Mincho"/>
          <w:u w:val="single"/>
        </w:rPr>
        <w:t xml:space="preserve">; or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ab/>
      </w:r>
      <w:r>
        <w:rPr>
          <w:rFonts w:eastAsia="MS Mincho"/>
        </w:rPr>
        <w:tab/>
      </w:r>
      <w:r>
        <w:rPr>
          <w:rFonts w:eastAsia="MS Mincho"/>
          <w:u w:val="single"/>
        </w:rPr>
        <w:t>(2) expands or contracts the boundaries of areas in which a sex offender may or may not reside that are contained in subsection (B) of this section</w:t>
      </w:r>
      <w:r>
        <w:rPr>
          <w:rFonts w:eastAsia="MS Mincho"/>
        </w:rPr>
        <w:t>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2232B6-B120-413F-AB12-13AAE2008C99}"/>
    <w:embedBold r:id="rId2" w:fontKey="{DF82F0B5-9C89-497F-B9BE-CD561D4EA6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6A86712-3468-4DD6-B65A-73159E6A0B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F893665-5CF0-449F-B15F-8937F209BBE9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2E7A61-2161-4013-95CB-54A6C7FBCA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15CM09"/>
    <w:docVar w:name="CoverBillType" w:val="b"/>
    <w:docVar w:name="docpath" w:val="L:\Council\bills\SWB\5615CM09.DOCX"/>
    <w:docVar w:name="dvBillNumber" w:val="3087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57D32-2990-445E-8E20-C193873AB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2008-12-02T15:30:00Z</cp:lastPrinted>
  <dcterms:created xsi:type="dcterms:W3CDTF">2008-12-09T22:05:00Z</dcterms:created>
  <dcterms:modified xsi:type="dcterms:W3CDTF">2008-12-09T22:05:00Z</dcterms:modified>
</cp:coreProperties>
</file>